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hint="eastAsia" w:ascii="宋体" w:hAnsi="Times New Roman" w:eastAsia="宋体" w:cs="宋体"/>
          <w:b/>
          <w:kern w:val="0"/>
          <w:sz w:val="32"/>
          <w:szCs w:val="32"/>
        </w:rPr>
      </w:pPr>
      <w:r>
        <w:rPr>
          <w:rFonts w:hint="eastAsia" w:ascii="宋体" w:hAnsi="Times New Roman" w:eastAsia="宋体" w:cs="宋体"/>
          <w:b/>
          <w:kern w:val="0"/>
          <w:sz w:val="32"/>
          <w:szCs w:val="32"/>
        </w:rPr>
        <w:t>湖南博云新材料股份有限公司</w:t>
      </w:r>
    </w:p>
    <w:p>
      <w:pPr>
        <w:autoSpaceDE w:val="0"/>
        <w:autoSpaceDN w:val="0"/>
        <w:adjustRightInd w:val="0"/>
        <w:spacing w:line="500" w:lineRule="exact"/>
        <w:jc w:val="center"/>
        <w:rPr>
          <w:rFonts w:hint="eastAsia" w:ascii="宋体" w:hAnsi="Times New Roman" w:eastAsia="宋体" w:cs="宋体"/>
          <w:b/>
          <w:kern w:val="0"/>
          <w:sz w:val="32"/>
          <w:szCs w:val="32"/>
        </w:rPr>
      </w:pPr>
      <w:r>
        <w:rPr>
          <w:rFonts w:hint="eastAsia" w:ascii="宋体" w:hAnsi="Times New Roman" w:eastAsia="宋体" w:cs="宋体"/>
          <w:b/>
          <w:kern w:val="0"/>
          <w:sz w:val="32"/>
          <w:szCs w:val="32"/>
        </w:rPr>
        <w:t>重大信息内部报告制度</w:t>
      </w:r>
    </w:p>
    <w:p>
      <w:pPr>
        <w:keepNext w:val="0"/>
        <w:keepLines w:val="0"/>
        <w:pageBreakBefore w:val="0"/>
        <w:widowControl w:val="0"/>
        <w:kinsoku/>
        <w:wordWrap/>
        <w:overflowPunct/>
        <w:topLinePunct w:val="0"/>
        <w:autoSpaceDE/>
        <w:autoSpaceDN/>
        <w:bidi w:val="0"/>
        <w:adjustRightInd/>
        <w:snapToGrid/>
        <w:spacing w:before="313" w:beforeLines="100" w:after="157" w:afterLines="50" w:line="360" w:lineRule="auto"/>
        <w:ind w:firstLine="3424" w:firstLineChars="1421"/>
        <w:textAlignment w:val="auto"/>
        <w:rPr>
          <w:sz w:val="24"/>
        </w:rPr>
      </w:pPr>
      <w:r>
        <w:rPr>
          <w:rFonts w:hint="eastAsia"/>
          <w:b/>
          <w:sz w:val="24"/>
        </w:rPr>
        <w:t>第一章</w:t>
      </w:r>
      <w:r>
        <w:rPr>
          <w:b/>
          <w:sz w:val="24"/>
        </w:rPr>
        <w:t xml:space="preserve"> </w:t>
      </w:r>
      <w:r>
        <w:rPr>
          <w:rFonts w:hint="eastAsia"/>
          <w:b/>
          <w:sz w:val="24"/>
        </w:rPr>
        <w:t>总则</w:t>
      </w:r>
      <w:r>
        <w:rPr>
          <w:b/>
          <w:sz w:val="24"/>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90" w:firstLineChars="245"/>
        <w:textAlignment w:val="auto"/>
        <w:rPr>
          <w:rFonts w:hint="eastAsia" w:ascii="宋体" w:hAnsi="宋体" w:cs="楷体_GB2312"/>
          <w:kern w:val="0"/>
          <w:sz w:val="24"/>
          <w:szCs w:val="28"/>
        </w:rPr>
      </w:pPr>
      <w:r>
        <w:rPr>
          <w:rFonts w:hint="eastAsia"/>
          <w:b/>
          <w:bCs/>
          <w:sz w:val="24"/>
        </w:rPr>
        <w:t>第一条</w:t>
      </w:r>
      <w:r>
        <w:rPr>
          <w:sz w:val="24"/>
        </w:rPr>
        <w:t xml:space="preserve"> </w:t>
      </w:r>
      <w:r>
        <w:rPr>
          <w:rFonts w:hint="eastAsia"/>
          <w:sz w:val="24"/>
          <w:lang w:val="en-US" w:eastAsia="zh-CN"/>
        </w:rPr>
        <w:t xml:space="preserve"> </w:t>
      </w:r>
      <w:r>
        <w:rPr>
          <w:rFonts w:hint="eastAsia"/>
          <w:sz w:val="24"/>
        </w:rPr>
        <w:t>湖南博云新材料股份有限公司（以下简称“公司”）为规范重大信息内部报告工作，保证公司内部重大信息的快速传递、归集和有效管理，及时、准确、全面、完整地披露信息，维护投资者的合法权益，根据《中华人民共和国公司法》《中华人民共和国证券法》《上市公司信息披露管理办法》《深圳证券交易所股票上市规则》等法律、法规、规章、规范性文件和</w:t>
      </w:r>
      <w:r>
        <w:rPr>
          <w:rFonts w:hint="eastAsia"/>
          <w:sz w:val="24"/>
          <w:lang w:eastAsia="zh-CN"/>
        </w:rPr>
        <w:t>《</w:t>
      </w:r>
      <w:r>
        <w:rPr>
          <w:rFonts w:hint="eastAsia"/>
          <w:sz w:val="24"/>
        </w:rPr>
        <w:t>公司章程》的规定，结合本公司实际情况，制定《湖南博云新材料股份有限公司重大信息内部报告制度》（以下简称“本制度”）。</w:t>
      </w:r>
      <w:r>
        <w:rPr>
          <w:sz w:val="24"/>
        </w:rPr>
        <w:t xml:space="preserve"> </w:t>
      </w:r>
      <w:r>
        <w:rPr>
          <w:sz w:val="24"/>
        </w:rPr>
        <w:br w:type="textWrapping"/>
      </w:r>
      <w:r>
        <w:rPr>
          <w:rFonts w:hint="eastAsia"/>
          <w:sz w:val="24"/>
        </w:rPr>
        <w:t>　　</w:t>
      </w:r>
      <w:r>
        <w:rPr>
          <w:sz w:val="24"/>
        </w:rPr>
        <w:t xml:space="preserve"> </w:t>
      </w:r>
      <w:r>
        <w:rPr>
          <w:rFonts w:hint="eastAsia"/>
          <w:b/>
          <w:bCs/>
          <w:sz w:val="24"/>
        </w:rPr>
        <w:t>第二条</w:t>
      </w:r>
      <w:r>
        <w:rPr>
          <w:sz w:val="24"/>
        </w:rPr>
        <w:t xml:space="preserve"> </w:t>
      </w:r>
      <w:r>
        <w:rPr>
          <w:rFonts w:hint="eastAsia"/>
          <w:sz w:val="24"/>
          <w:lang w:val="en-US" w:eastAsia="zh-CN"/>
        </w:rPr>
        <w:t xml:space="preserve"> </w:t>
      </w:r>
      <w:r>
        <w:rPr>
          <w:rFonts w:hint="eastAsia" w:ascii="宋体" w:hAnsi="宋体" w:cs="楷体_GB2312"/>
          <w:kern w:val="0"/>
          <w:sz w:val="24"/>
          <w:szCs w:val="28"/>
        </w:rPr>
        <w:t>公司重大信息内部报告制度是指当出现、发生或即将发生可能对公司股票及其衍生品种交易价格产生较大影响的情形或事件时，按照本制度规定负有报告义务的单位、部门、人员，应当在第一时间将相关信息向公司责任领导、董事会秘书进行报告的制度。</w:t>
      </w:r>
    </w:p>
    <w:p>
      <w:pPr>
        <w:keepNext w:val="0"/>
        <w:keepLines w:val="0"/>
        <w:pageBreakBefore w:val="0"/>
        <w:widowControl w:val="0"/>
        <w:kinsoku/>
        <w:wordWrap/>
        <w:overflowPunct/>
        <w:topLinePunct w:val="0"/>
        <w:autoSpaceDE/>
        <w:autoSpaceDN/>
        <w:bidi w:val="0"/>
        <w:adjustRightInd/>
        <w:snapToGrid/>
        <w:spacing w:line="460" w:lineRule="exact"/>
        <w:ind w:firstLine="590" w:firstLineChars="245"/>
        <w:textAlignment w:val="auto"/>
        <w:rPr>
          <w:rFonts w:hint="eastAsia"/>
          <w:sz w:val="24"/>
        </w:rPr>
      </w:pPr>
      <w:r>
        <w:rPr>
          <w:rFonts w:hint="eastAsia"/>
          <w:b/>
          <w:bCs/>
          <w:sz w:val="24"/>
        </w:rPr>
        <w:t>第三条</w:t>
      </w:r>
      <w:r>
        <w:rPr>
          <w:sz w:val="24"/>
        </w:rPr>
        <w:t xml:space="preserve"> </w:t>
      </w:r>
      <w:r>
        <w:rPr>
          <w:rFonts w:hint="eastAsia"/>
          <w:sz w:val="24"/>
          <w:lang w:val="en-US" w:eastAsia="zh-CN"/>
        </w:rPr>
        <w:t xml:space="preserve"> </w:t>
      </w:r>
      <w:r>
        <w:rPr>
          <w:rFonts w:hint="eastAsia"/>
          <w:sz w:val="24"/>
        </w:rPr>
        <w:t>本制度适用于公司本部各职能部门、分公司、全资子公司、控股子公司及公司以权益法核算的投资参股企业。</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460" w:lineRule="exact"/>
        <w:jc w:val="center"/>
        <w:textAlignment w:val="auto"/>
        <w:rPr>
          <w:b/>
          <w:bCs/>
          <w:sz w:val="24"/>
        </w:rPr>
      </w:pPr>
      <w:r>
        <w:rPr>
          <w:rFonts w:hint="eastAsia"/>
          <w:b/>
          <w:sz w:val="24"/>
        </w:rPr>
        <w:t>第二章</w:t>
      </w:r>
      <w:r>
        <w:rPr>
          <w:b/>
          <w:sz w:val="24"/>
        </w:rPr>
        <w:t xml:space="preserve"> </w:t>
      </w:r>
      <w:r>
        <w:rPr>
          <w:rFonts w:hint="eastAsia"/>
          <w:b/>
          <w:sz w:val="24"/>
        </w:rPr>
        <w:t>重大信息报告义务人</w:t>
      </w:r>
    </w:p>
    <w:p>
      <w:pPr>
        <w:keepNext w:val="0"/>
        <w:keepLines w:val="0"/>
        <w:pageBreakBefore w:val="0"/>
        <w:widowControl w:val="0"/>
        <w:kinsoku/>
        <w:wordWrap/>
        <w:overflowPunct/>
        <w:topLinePunct w:val="0"/>
        <w:autoSpaceDE/>
        <w:autoSpaceDN/>
        <w:bidi w:val="0"/>
        <w:adjustRightInd/>
        <w:snapToGrid w:val="0"/>
        <w:spacing w:line="460" w:lineRule="exact"/>
        <w:ind w:firstLine="590" w:firstLineChars="245"/>
        <w:textAlignment w:val="auto"/>
        <w:rPr>
          <w:rFonts w:hint="eastAsia"/>
          <w:sz w:val="24"/>
        </w:rPr>
      </w:pPr>
      <w:r>
        <w:rPr>
          <w:rFonts w:hint="eastAsia"/>
          <w:b/>
          <w:bCs/>
          <w:sz w:val="24"/>
        </w:rPr>
        <w:t>第四条</w:t>
      </w:r>
      <w:r>
        <w:rPr>
          <w:sz w:val="24"/>
        </w:rPr>
        <w:t xml:space="preserve"> </w:t>
      </w:r>
      <w:r>
        <w:rPr>
          <w:rFonts w:hint="eastAsia"/>
          <w:sz w:val="24"/>
          <w:lang w:val="en-US" w:eastAsia="zh-CN"/>
        </w:rPr>
        <w:t xml:space="preserve"> </w:t>
      </w:r>
      <w:r>
        <w:rPr>
          <w:rFonts w:hint="eastAsia"/>
          <w:sz w:val="24"/>
        </w:rPr>
        <w:t>本制度所称报告义务人为</w:t>
      </w:r>
    </w:p>
    <w:p>
      <w:pPr>
        <w:keepNext w:val="0"/>
        <w:keepLines w:val="0"/>
        <w:pageBreakBefore w:val="0"/>
        <w:widowControl w:val="0"/>
        <w:kinsoku/>
        <w:wordWrap/>
        <w:overflowPunct/>
        <w:topLinePunct w:val="0"/>
        <w:autoSpaceDE/>
        <w:autoSpaceDN/>
        <w:bidi w:val="0"/>
        <w:adjustRightInd/>
        <w:snapToGrid w:val="0"/>
        <w:spacing w:line="460" w:lineRule="exact"/>
        <w:ind w:firstLine="588" w:firstLineChars="245"/>
        <w:textAlignment w:val="auto"/>
        <w:rPr>
          <w:sz w:val="24"/>
        </w:rPr>
      </w:pPr>
      <w:r>
        <w:rPr>
          <w:rFonts w:hint="eastAsia"/>
          <w:sz w:val="24"/>
          <w:lang w:eastAsia="zh-CN"/>
        </w:rPr>
        <w:t>（一）</w:t>
      </w:r>
      <w:r>
        <w:rPr>
          <w:rFonts w:hint="eastAsia"/>
          <w:sz w:val="24"/>
        </w:rPr>
        <w:t>公司董事、高级管理人员；</w:t>
      </w:r>
    </w:p>
    <w:p>
      <w:pPr>
        <w:keepNext w:val="0"/>
        <w:keepLines w:val="0"/>
        <w:pageBreakBefore w:val="0"/>
        <w:widowControl w:val="0"/>
        <w:numPr>
          <w:ilvl w:val="0"/>
          <w:numId w:val="0"/>
        </w:numPr>
        <w:kinsoku/>
        <w:wordWrap/>
        <w:overflowPunct/>
        <w:topLinePunct w:val="0"/>
        <w:autoSpaceDE/>
        <w:autoSpaceDN/>
        <w:bidi w:val="0"/>
        <w:adjustRightInd/>
        <w:spacing w:line="460" w:lineRule="exact"/>
        <w:ind w:left="588" w:leftChars="0"/>
        <w:textAlignment w:val="auto"/>
        <w:rPr>
          <w:sz w:val="24"/>
        </w:rPr>
      </w:pPr>
      <w:r>
        <w:rPr>
          <w:rFonts w:hint="eastAsia"/>
          <w:sz w:val="24"/>
          <w:lang w:eastAsia="zh-CN"/>
        </w:rPr>
        <w:t>（二）</w:t>
      </w:r>
      <w:r>
        <w:rPr>
          <w:rFonts w:hint="eastAsia"/>
          <w:sz w:val="24"/>
        </w:rPr>
        <w:t>各部门负责人、各全资子公司、控股子公司、分公司负责人；</w:t>
      </w:r>
    </w:p>
    <w:p>
      <w:pPr>
        <w:keepNext w:val="0"/>
        <w:keepLines w:val="0"/>
        <w:pageBreakBefore w:val="0"/>
        <w:widowControl w:val="0"/>
        <w:numPr>
          <w:ilvl w:val="0"/>
          <w:numId w:val="0"/>
        </w:numPr>
        <w:kinsoku/>
        <w:wordWrap/>
        <w:overflowPunct/>
        <w:topLinePunct w:val="0"/>
        <w:autoSpaceDE/>
        <w:autoSpaceDN/>
        <w:bidi w:val="0"/>
        <w:adjustRightInd/>
        <w:spacing w:line="460" w:lineRule="exact"/>
        <w:ind w:left="588" w:leftChars="0"/>
        <w:textAlignment w:val="auto"/>
        <w:rPr>
          <w:sz w:val="24"/>
        </w:rPr>
      </w:pPr>
      <w:r>
        <w:rPr>
          <w:rFonts w:hint="eastAsia"/>
          <w:sz w:val="24"/>
          <w:lang w:eastAsia="zh-CN"/>
        </w:rPr>
        <w:t>（三）</w:t>
      </w:r>
      <w:r>
        <w:rPr>
          <w:rFonts w:hint="eastAsia"/>
          <w:sz w:val="24"/>
        </w:rPr>
        <w:t>公司派驻各参股公司的董事、</w:t>
      </w:r>
      <w:r>
        <w:rPr>
          <w:rFonts w:hint="eastAsia"/>
          <w:sz w:val="24"/>
          <w:lang w:eastAsia="zh-CN"/>
        </w:rPr>
        <w:t>监事、</w:t>
      </w:r>
      <w:r>
        <w:rPr>
          <w:rFonts w:hint="eastAsia"/>
          <w:sz w:val="24"/>
        </w:rPr>
        <w:t>高级管理人员；</w:t>
      </w:r>
    </w:p>
    <w:p>
      <w:pPr>
        <w:keepNext w:val="0"/>
        <w:keepLines w:val="0"/>
        <w:pageBreakBefore w:val="0"/>
        <w:widowControl w:val="0"/>
        <w:numPr>
          <w:ilvl w:val="0"/>
          <w:numId w:val="0"/>
        </w:numPr>
        <w:kinsoku/>
        <w:wordWrap/>
        <w:overflowPunct/>
        <w:topLinePunct w:val="0"/>
        <w:autoSpaceDE/>
        <w:autoSpaceDN/>
        <w:bidi w:val="0"/>
        <w:adjustRightInd/>
        <w:spacing w:line="460" w:lineRule="exact"/>
        <w:ind w:left="588" w:leftChars="0"/>
        <w:textAlignment w:val="auto"/>
        <w:rPr>
          <w:rFonts w:hint="eastAsia" w:ascii="宋体" w:hAnsi="宋体" w:cs="楷体_GB2312"/>
          <w:kern w:val="0"/>
          <w:sz w:val="24"/>
          <w:szCs w:val="28"/>
        </w:rPr>
      </w:pPr>
      <w:r>
        <w:rPr>
          <w:rFonts w:hint="eastAsia" w:ascii="宋体" w:hAnsi="宋体" w:cs="楷体_GB2312"/>
          <w:kern w:val="0"/>
          <w:sz w:val="24"/>
          <w:szCs w:val="28"/>
          <w:lang w:eastAsia="zh-CN"/>
        </w:rPr>
        <w:t>（四）</w:t>
      </w:r>
      <w:r>
        <w:rPr>
          <w:rFonts w:hint="eastAsia" w:ascii="宋体" w:hAnsi="宋体" w:cs="楷体_GB2312"/>
          <w:kern w:val="0"/>
          <w:sz w:val="24"/>
          <w:szCs w:val="28"/>
        </w:rPr>
        <w:t>公司控股股东、实际控制人，持有公司5%以上股份的其他股东。</w:t>
      </w:r>
    </w:p>
    <w:p>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482" w:firstLineChars="200"/>
        <w:textAlignment w:val="auto"/>
        <w:rPr>
          <w:rFonts w:hint="eastAsia"/>
          <w:sz w:val="24"/>
        </w:rPr>
      </w:pPr>
      <w:r>
        <w:rPr>
          <w:rFonts w:hint="eastAsia"/>
          <w:b/>
          <w:bCs/>
          <w:sz w:val="24"/>
        </w:rPr>
        <w:t>第五条</w:t>
      </w:r>
      <w:r>
        <w:rPr>
          <w:sz w:val="24"/>
        </w:rPr>
        <w:t xml:space="preserve"> </w:t>
      </w:r>
      <w:r>
        <w:rPr>
          <w:rFonts w:hint="eastAsia"/>
          <w:sz w:val="24"/>
          <w:lang w:val="en-US" w:eastAsia="zh-CN"/>
        </w:rPr>
        <w:t xml:space="preserve"> </w:t>
      </w:r>
      <w:r>
        <w:rPr>
          <w:rFonts w:hint="eastAsia"/>
          <w:sz w:val="24"/>
        </w:rPr>
        <w:t>公司董事会负责管理公司重大信息及其披露。</w:t>
      </w:r>
    </w:p>
    <w:p>
      <w:pPr>
        <w:keepNext w:val="0"/>
        <w:keepLines w:val="0"/>
        <w:pageBreakBefore w:val="0"/>
        <w:widowControl w:val="0"/>
        <w:numPr>
          <w:ilvl w:val="0"/>
          <w:numId w:val="0"/>
        </w:numPr>
        <w:kinsoku/>
        <w:wordWrap/>
        <w:overflowPunct/>
        <w:topLinePunct w:val="0"/>
        <w:autoSpaceDE/>
        <w:autoSpaceDN/>
        <w:bidi w:val="0"/>
        <w:adjustRightInd/>
        <w:spacing w:line="460" w:lineRule="exact"/>
        <w:ind w:left="0" w:leftChars="0" w:firstLine="482" w:firstLineChars="200"/>
        <w:textAlignment w:val="auto"/>
        <w:rPr>
          <w:rFonts w:hint="eastAsia"/>
          <w:sz w:val="24"/>
        </w:rPr>
      </w:pPr>
      <w:r>
        <w:rPr>
          <w:rFonts w:hint="eastAsia"/>
          <w:b/>
          <w:bCs/>
          <w:sz w:val="24"/>
        </w:rPr>
        <w:t>第六条</w:t>
      </w:r>
      <w:r>
        <w:rPr>
          <w:sz w:val="24"/>
        </w:rPr>
        <w:t xml:space="preserve"> </w:t>
      </w:r>
      <w:r>
        <w:rPr>
          <w:rFonts w:hint="eastAsia"/>
          <w:sz w:val="24"/>
          <w:lang w:val="en-US" w:eastAsia="zh-CN"/>
        </w:rPr>
        <w:t xml:space="preserve"> </w:t>
      </w:r>
      <w:r>
        <w:rPr>
          <w:rFonts w:hint="eastAsia"/>
          <w:sz w:val="24"/>
        </w:rPr>
        <w:t>公司</w:t>
      </w:r>
      <w:r>
        <w:rPr>
          <w:rFonts w:hint="eastAsia"/>
          <w:sz w:val="24"/>
          <w:lang w:eastAsia="zh-CN"/>
        </w:rPr>
        <w:t>证券事务管理部门</w:t>
      </w:r>
      <w:r>
        <w:rPr>
          <w:rFonts w:hint="eastAsia"/>
          <w:sz w:val="24"/>
        </w:rPr>
        <w:t>是董事会的日常办事机构，由董事会秘书领导，具体执行重大信息的管理及披露事项。</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0" w:leftChars="0" w:firstLine="482" w:firstLineChars="200"/>
        <w:textAlignment w:val="auto"/>
        <w:rPr>
          <w:rFonts w:hint="eastAsia"/>
          <w:sz w:val="24"/>
          <w:lang w:eastAsia="zh-CN"/>
        </w:rPr>
      </w:pPr>
      <w:r>
        <w:rPr>
          <w:rFonts w:hint="eastAsia"/>
          <w:b/>
          <w:bCs/>
          <w:sz w:val="24"/>
        </w:rPr>
        <w:t>第七条</w:t>
      </w:r>
      <w:r>
        <w:rPr>
          <w:sz w:val="24"/>
        </w:rPr>
        <w:t xml:space="preserve"> </w:t>
      </w:r>
      <w:r>
        <w:rPr>
          <w:rFonts w:hint="eastAsia"/>
          <w:sz w:val="24"/>
          <w:lang w:val="en-US" w:eastAsia="zh-CN"/>
        </w:rPr>
        <w:t xml:space="preserve"> </w:t>
      </w:r>
      <w:r>
        <w:rPr>
          <w:rFonts w:hint="eastAsia"/>
          <w:sz w:val="24"/>
        </w:rPr>
        <w:t>报告义务人为重大信息内部报告的第一责任人，负有敦促本部门或单位信息收集、整理的义务以及向董事会秘书处报告其职权范围内所知悉的重大信息的义务。报告义务人对所报告信息、资料的真实性、准确性和完整性负责，并可指定专门人员担任重大信息内部报告的联络人，配合</w:t>
      </w:r>
      <w:r>
        <w:rPr>
          <w:rFonts w:hint="eastAsia"/>
          <w:sz w:val="24"/>
          <w:lang w:eastAsia="zh-CN"/>
        </w:rPr>
        <w:t>证券事务管理部门</w:t>
      </w:r>
      <w:r>
        <w:rPr>
          <w:rFonts w:hint="eastAsia"/>
          <w:sz w:val="24"/>
        </w:rPr>
        <w:t>完成信息披露各项事宜</w:t>
      </w:r>
      <w:r>
        <w:rPr>
          <w:rFonts w:hint="eastAsia"/>
          <w:sz w:val="24"/>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0" w:leftChars="0" w:firstLine="482" w:firstLineChars="200"/>
        <w:jc w:val="both"/>
        <w:textAlignment w:val="auto"/>
        <w:rPr>
          <w:rFonts w:hint="eastAsia"/>
          <w:sz w:val="24"/>
        </w:rPr>
      </w:pPr>
      <w:r>
        <w:rPr>
          <w:rFonts w:hint="eastAsia"/>
          <w:b/>
          <w:bCs/>
          <w:sz w:val="24"/>
        </w:rPr>
        <w:t>第八条</w:t>
      </w:r>
      <w:r>
        <w:rPr>
          <w:sz w:val="24"/>
        </w:rPr>
        <w:t xml:space="preserve"> </w:t>
      </w:r>
      <w:r>
        <w:rPr>
          <w:rFonts w:hint="eastAsia"/>
          <w:sz w:val="24"/>
          <w:lang w:val="en-US" w:eastAsia="zh-CN"/>
        </w:rPr>
        <w:t xml:space="preserve"> </w:t>
      </w:r>
      <w:r>
        <w:rPr>
          <w:rFonts w:hint="eastAsia"/>
          <w:sz w:val="24"/>
        </w:rPr>
        <w:t>出现、发生或即将发生本制度第三章所述情形或事件时，报告义务人应当在获悉有关信息时及时履行报告义务。</w:t>
      </w:r>
      <w:r>
        <w:rPr>
          <w:rFonts w:hint="eastAsia"/>
          <w:sz w:val="24"/>
        </w:rPr>
        <w:br w:type="textWrapping"/>
      </w:r>
      <w:r>
        <w:rPr>
          <w:rFonts w:hint="eastAsia"/>
          <w:sz w:val="24"/>
          <w:lang w:val="en-US" w:eastAsia="zh-CN"/>
        </w:rPr>
        <w:t xml:space="preserve"> </w:t>
      </w:r>
      <w:r>
        <w:rPr>
          <w:rFonts w:hint="eastAsia"/>
          <w:b/>
          <w:bCs/>
          <w:sz w:val="24"/>
          <w:lang w:val="en-US" w:eastAsia="zh-CN"/>
        </w:rPr>
        <w:t xml:space="preserve">   </w:t>
      </w:r>
      <w:r>
        <w:rPr>
          <w:rFonts w:hint="eastAsia"/>
          <w:b/>
          <w:bCs/>
          <w:sz w:val="24"/>
        </w:rPr>
        <w:t>第九条</w:t>
      </w:r>
      <w:r>
        <w:rPr>
          <w:rFonts w:hint="eastAsia"/>
          <w:sz w:val="24"/>
        </w:rPr>
        <w:t xml:space="preserve"> </w:t>
      </w:r>
      <w:r>
        <w:rPr>
          <w:rFonts w:hint="eastAsia"/>
          <w:sz w:val="24"/>
          <w:lang w:val="en-US" w:eastAsia="zh-CN"/>
        </w:rPr>
        <w:t xml:space="preserve"> </w:t>
      </w:r>
      <w:r>
        <w:rPr>
          <w:rFonts w:hint="eastAsia"/>
          <w:sz w:val="24"/>
        </w:rPr>
        <w:t xml:space="preserve">报告义务人及其他知情人在重大信息尚未公开披露前，负有保密义务。 </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after="157" w:afterLines="50" w:line="460" w:lineRule="exact"/>
        <w:jc w:val="center"/>
        <w:textAlignment w:val="auto"/>
        <w:rPr>
          <w:rFonts w:hint="default" w:eastAsia="宋体"/>
          <w:b/>
          <w:bCs/>
          <w:sz w:val="24"/>
          <w:lang w:val="en-US" w:eastAsia="zh-CN"/>
        </w:rPr>
      </w:pPr>
      <w:r>
        <w:rPr>
          <w:rFonts w:hint="eastAsia"/>
          <w:b/>
          <w:bCs/>
          <w:sz w:val="24"/>
          <w:lang w:eastAsia="zh-CN"/>
        </w:rPr>
        <w:t>第三章</w:t>
      </w:r>
      <w:r>
        <w:rPr>
          <w:rFonts w:hint="eastAsia"/>
          <w:b/>
          <w:bCs/>
          <w:sz w:val="24"/>
          <w:lang w:val="en-US" w:eastAsia="zh-CN"/>
        </w:rPr>
        <w:t xml:space="preserve">  重大信息的范围</w:t>
      </w:r>
    </w:p>
    <w:p>
      <w:pPr>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0" w:leftChars="0" w:firstLine="458" w:firstLineChars="200"/>
        <w:textAlignment w:val="auto"/>
        <w:rPr>
          <w:rFonts w:ascii="宋体" w:hAnsi="宋体" w:cs="楷体_GB2312"/>
          <w:spacing w:val="-6"/>
          <w:kern w:val="0"/>
          <w:sz w:val="24"/>
          <w:szCs w:val="28"/>
        </w:rPr>
      </w:pPr>
      <w:r>
        <w:rPr>
          <w:rFonts w:hint="eastAsia" w:ascii="宋体" w:hAnsi="宋体" w:cs="楷体_GB2312"/>
          <w:b/>
          <w:bCs/>
          <w:spacing w:val="-6"/>
          <w:kern w:val="0"/>
          <w:sz w:val="24"/>
          <w:szCs w:val="28"/>
        </w:rPr>
        <w:t>第十条</w:t>
      </w:r>
      <w:r>
        <w:rPr>
          <w:rFonts w:hint="eastAsia" w:ascii="宋体" w:hAnsi="宋体" w:cs="楷体_GB2312"/>
          <w:spacing w:val="-6"/>
          <w:kern w:val="0"/>
          <w:sz w:val="24"/>
          <w:szCs w:val="28"/>
        </w:rPr>
        <w:t xml:space="preserve">  重大信息包括但不限于以下内容及其持续变更进程：</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480" w:firstLineChars="200"/>
        <w:jc w:val="left"/>
        <w:textAlignment w:val="auto"/>
        <w:rPr>
          <w:rFonts w:hint="eastAsia"/>
          <w:sz w:val="24"/>
        </w:rPr>
      </w:pPr>
      <w:r>
        <w:rPr>
          <w:rFonts w:hint="eastAsia" w:ascii="宋体" w:hAnsi="宋体" w:cs="楷体_GB2312"/>
          <w:color w:val="000000"/>
          <w:kern w:val="0"/>
          <w:sz w:val="24"/>
          <w:szCs w:val="28"/>
        </w:rPr>
        <w:t>（一）会议事项：</w:t>
      </w:r>
      <w:r>
        <w:rPr>
          <w:rFonts w:hint="eastAsia"/>
          <w:sz w:val="24"/>
        </w:rPr>
        <w:t>公司召开</w:t>
      </w:r>
      <w:r>
        <w:rPr>
          <w:rFonts w:hint="eastAsia"/>
          <w:sz w:val="24"/>
          <w:lang w:eastAsia="zh-CN"/>
        </w:rPr>
        <w:t>总裁</w:t>
      </w:r>
      <w:r>
        <w:rPr>
          <w:rFonts w:hint="eastAsia"/>
          <w:sz w:val="24"/>
        </w:rPr>
        <w:t>办公会议，各子公司召开股东会、董事会，应在会议结束后报告会议内容（会议决议或会议记录）。</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ascii="宋体" w:hAnsi="宋体" w:cs="楷体_GB2312"/>
          <w:kern w:val="0"/>
          <w:sz w:val="24"/>
          <w:szCs w:val="28"/>
        </w:rPr>
      </w:pPr>
      <w:r>
        <w:rPr>
          <w:rFonts w:hint="eastAsia" w:ascii="宋体" w:hAnsi="宋体" w:cs="楷体_GB2312"/>
          <w:kern w:val="0"/>
          <w:sz w:val="24"/>
          <w:szCs w:val="28"/>
        </w:rPr>
        <w:t>（二）交易事项，包括</w:t>
      </w:r>
      <w:r>
        <w:rPr>
          <w:rFonts w:hint="eastAsia" w:ascii="宋体" w:hAnsi="宋体" w:cs="楷体_GB2312"/>
          <w:kern w:val="0"/>
          <w:sz w:val="24"/>
          <w:szCs w:val="28"/>
          <w:lang w:eastAsia="zh-CN"/>
        </w:rPr>
        <w:t>但不限于</w:t>
      </w:r>
      <w:r>
        <w:rPr>
          <w:rFonts w:hint="eastAsia" w:ascii="宋体" w:hAnsi="宋体" w:cs="楷体_GB2312"/>
          <w:kern w:val="0"/>
          <w:sz w:val="24"/>
          <w:szCs w:val="28"/>
        </w:rPr>
        <w:t>：</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w:t>
      </w:r>
      <w:r>
        <w:rPr>
          <w:rFonts w:hint="eastAsia" w:ascii="宋体" w:hAnsi="宋体" w:cs="楷体_GB2312"/>
          <w:kern w:val="0"/>
          <w:sz w:val="24"/>
          <w:szCs w:val="28"/>
          <w:lang w:val="en-US" w:eastAsia="zh-CN"/>
        </w:rPr>
        <w:t>.</w:t>
      </w:r>
      <w:r>
        <w:rPr>
          <w:rFonts w:hint="eastAsia" w:ascii="宋体" w:hAnsi="宋体" w:cs="楷体_GB2312"/>
          <w:kern w:val="0"/>
          <w:sz w:val="24"/>
          <w:szCs w:val="28"/>
        </w:rPr>
        <w:t>购买或出售资产（不含购买原材料、燃料和动力，以及出售产品、商品等与日常生产经营相关的资产购买或者出售行为，但资产置换中涉及购买、出售此类资产的，仍包括在报告事项之内）；</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2</w:t>
      </w:r>
      <w:r>
        <w:rPr>
          <w:rFonts w:hint="eastAsia" w:ascii="宋体" w:hAnsi="宋体" w:cs="楷体_GB2312"/>
          <w:kern w:val="0"/>
          <w:sz w:val="24"/>
          <w:szCs w:val="28"/>
          <w:lang w:val="en-US" w:eastAsia="zh-CN"/>
        </w:rPr>
        <w:t>.</w:t>
      </w:r>
      <w:r>
        <w:rPr>
          <w:rFonts w:hint="eastAsia" w:ascii="宋体" w:hAnsi="宋体" w:cs="楷体_GB2312"/>
          <w:kern w:val="0"/>
          <w:sz w:val="24"/>
          <w:szCs w:val="28"/>
        </w:rPr>
        <w:t>对外投资（含委托理财、委托贷款等）；</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3</w:t>
      </w:r>
      <w:r>
        <w:rPr>
          <w:rFonts w:hint="eastAsia" w:ascii="宋体" w:hAnsi="宋体" w:cs="楷体_GB2312"/>
          <w:kern w:val="0"/>
          <w:sz w:val="24"/>
          <w:szCs w:val="28"/>
          <w:lang w:val="en-US" w:eastAsia="zh-CN"/>
        </w:rPr>
        <w:t>.</w:t>
      </w:r>
      <w:r>
        <w:rPr>
          <w:rFonts w:hint="eastAsia" w:ascii="宋体" w:hAnsi="宋体" w:cs="楷体_GB2312"/>
          <w:kern w:val="0"/>
          <w:sz w:val="24"/>
          <w:szCs w:val="28"/>
        </w:rPr>
        <w:t>提供财务资助；</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color w:val="FF6600"/>
          <w:kern w:val="0"/>
          <w:sz w:val="24"/>
          <w:szCs w:val="28"/>
        </w:rPr>
      </w:pPr>
      <w:r>
        <w:rPr>
          <w:rFonts w:hint="eastAsia" w:ascii="宋体" w:hAnsi="宋体" w:cs="楷体_GB2312"/>
          <w:kern w:val="0"/>
          <w:sz w:val="24"/>
          <w:szCs w:val="28"/>
        </w:rPr>
        <w:t>4</w:t>
      </w:r>
      <w:r>
        <w:rPr>
          <w:rFonts w:hint="eastAsia" w:ascii="宋体" w:hAnsi="宋体" w:cs="楷体_GB2312"/>
          <w:kern w:val="0"/>
          <w:sz w:val="24"/>
          <w:szCs w:val="28"/>
          <w:lang w:val="en-US" w:eastAsia="zh-CN"/>
        </w:rPr>
        <w:t>.</w:t>
      </w:r>
      <w:r>
        <w:rPr>
          <w:rFonts w:hint="eastAsia" w:ascii="宋体" w:hAnsi="宋体" w:cs="楷体_GB2312"/>
          <w:kern w:val="0"/>
          <w:sz w:val="24"/>
          <w:szCs w:val="28"/>
        </w:rPr>
        <w:t>提供担保；</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5</w:t>
      </w:r>
      <w:r>
        <w:rPr>
          <w:rFonts w:hint="eastAsia" w:ascii="宋体" w:hAnsi="宋体" w:cs="楷体_GB2312"/>
          <w:kern w:val="0"/>
          <w:sz w:val="24"/>
          <w:szCs w:val="28"/>
          <w:lang w:val="en-US" w:eastAsia="zh-CN"/>
        </w:rPr>
        <w:t>.</w:t>
      </w:r>
      <w:r>
        <w:rPr>
          <w:rFonts w:hint="eastAsia" w:ascii="宋体" w:hAnsi="宋体" w:cs="楷体_GB2312"/>
          <w:kern w:val="0"/>
          <w:sz w:val="24"/>
          <w:szCs w:val="28"/>
        </w:rPr>
        <w:t>租入或租出资产；</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6</w:t>
      </w:r>
      <w:r>
        <w:rPr>
          <w:rFonts w:hint="eastAsia" w:ascii="宋体" w:hAnsi="宋体" w:cs="楷体_GB2312"/>
          <w:kern w:val="0"/>
          <w:sz w:val="24"/>
          <w:szCs w:val="28"/>
          <w:lang w:val="en-US" w:eastAsia="zh-CN"/>
        </w:rPr>
        <w:t>.</w:t>
      </w:r>
      <w:r>
        <w:rPr>
          <w:rFonts w:hint="eastAsia" w:ascii="宋体" w:hAnsi="宋体" w:cs="楷体_GB2312"/>
          <w:kern w:val="0"/>
          <w:sz w:val="24"/>
          <w:szCs w:val="28"/>
        </w:rPr>
        <w:t>签订管理方面的合同（含委托经营、受托经营等）；</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7</w:t>
      </w:r>
      <w:r>
        <w:rPr>
          <w:rFonts w:hint="eastAsia" w:ascii="宋体" w:hAnsi="宋体" w:cs="楷体_GB2312"/>
          <w:kern w:val="0"/>
          <w:sz w:val="24"/>
          <w:szCs w:val="28"/>
          <w:lang w:val="en-US" w:eastAsia="zh-CN"/>
        </w:rPr>
        <w:t>.</w:t>
      </w:r>
      <w:r>
        <w:rPr>
          <w:rFonts w:hint="eastAsia" w:ascii="宋体" w:hAnsi="宋体" w:cs="楷体_GB2312"/>
          <w:kern w:val="0"/>
          <w:sz w:val="24"/>
          <w:szCs w:val="28"/>
        </w:rPr>
        <w:t>赠与或受赠资产；</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8</w:t>
      </w:r>
      <w:r>
        <w:rPr>
          <w:rFonts w:hint="eastAsia" w:ascii="宋体" w:hAnsi="宋体" w:cs="楷体_GB2312"/>
          <w:kern w:val="0"/>
          <w:sz w:val="24"/>
          <w:szCs w:val="28"/>
          <w:lang w:val="en-US" w:eastAsia="zh-CN"/>
        </w:rPr>
        <w:t>.</w:t>
      </w:r>
      <w:r>
        <w:rPr>
          <w:rFonts w:hint="eastAsia" w:ascii="宋体" w:hAnsi="宋体" w:cs="楷体_GB2312"/>
          <w:kern w:val="0"/>
          <w:sz w:val="24"/>
          <w:szCs w:val="28"/>
        </w:rPr>
        <w:t>债权、债务重组；</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9</w:t>
      </w:r>
      <w:r>
        <w:rPr>
          <w:rFonts w:hint="eastAsia" w:ascii="宋体" w:hAnsi="宋体" w:cs="楷体_GB2312"/>
          <w:kern w:val="0"/>
          <w:sz w:val="24"/>
          <w:szCs w:val="28"/>
          <w:lang w:val="en-US" w:eastAsia="zh-CN"/>
        </w:rPr>
        <w:t>.</w:t>
      </w:r>
      <w:r>
        <w:rPr>
          <w:rFonts w:hint="eastAsia" w:ascii="宋体" w:hAnsi="宋体" w:cs="楷体_GB2312"/>
          <w:kern w:val="0"/>
          <w:sz w:val="24"/>
          <w:szCs w:val="28"/>
        </w:rPr>
        <w:t xml:space="preserve">转让或受让研究和开发项目； </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10</w:t>
      </w:r>
      <w:r>
        <w:rPr>
          <w:rFonts w:hint="eastAsia" w:ascii="宋体" w:hAnsi="宋体" w:cs="楷体_GB2312"/>
          <w:kern w:val="0"/>
          <w:sz w:val="24"/>
          <w:szCs w:val="28"/>
          <w:lang w:val="en-US" w:eastAsia="zh-CN"/>
        </w:rPr>
        <w:t>.</w:t>
      </w:r>
      <w:r>
        <w:rPr>
          <w:rFonts w:hint="eastAsia" w:ascii="宋体" w:hAnsi="宋体" w:cs="楷体_GB2312"/>
          <w:kern w:val="0"/>
          <w:sz w:val="24"/>
          <w:szCs w:val="28"/>
        </w:rPr>
        <w:t>签订许可协议；</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11</w:t>
      </w:r>
      <w:r>
        <w:rPr>
          <w:rFonts w:hint="eastAsia" w:ascii="宋体" w:hAnsi="宋体" w:cs="楷体_GB2312"/>
          <w:kern w:val="0"/>
          <w:sz w:val="24"/>
          <w:szCs w:val="28"/>
          <w:lang w:val="en-US" w:eastAsia="zh-CN"/>
        </w:rPr>
        <w:t>.</w:t>
      </w:r>
      <w:r>
        <w:rPr>
          <w:rFonts w:hint="eastAsia" w:ascii="宋体" w:hAnsi="宋体" w:cs="楷体_GB2312"/>
          <w:kern w:val="0"/>
          <w:sz w:val="24"/>
          <w:szCs w:val="28"/>
        </w:rPr>
        <w:t>深圳证券交易所认定的其他交易事项。</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上述交易事项中，第2项或第4项发生交易时，无论金额大小报告义务人均需履行报告义务；其余各项所列事项发生交易达到下列标准之一时，报告义务人应履行报告义务：</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w:t>
      </w:r>
      <w:r>
        <w:rPr>
          <w:rFonts w:hint="eastAsia" w:ascii="宋体" w:hAnsi="宋体" w:cs="楷体_GB2312"/>
          <w:kern w:val="0"/>
          <w:sz w:val="24"/>
          <w:szCs w:val="28"/>
          <w:lang w:val="en-US" w:eastAsia="zh-CN"/>
        </w:rPr>
        <w:t>.</w:t>
      </w:r>
      <w:r>
        <w:rPr>
          <w:rFonts w:hint="eastAsia" w:ascii="宋体" w:hAnsi="宋体" w:cs="楷体_GB2312"/>
          <w:kern w:val="0"/>
          <w:sz w:val="24"/>
          <w:szCs w:val="28"/>
        </w:rPr>
        <w:t>交易涉</w:t>
      </w:r>
      <w:r>
        <w:rPr>
          <w:rFonts w:hint="eastAsia"/>
          <w:sz w:val="24"/>
        </w:rPr>
        <w:t>及的资产总额占公司最近一期经审计总资产的</w:t>
      </w:r>
      <w:r>
        <w:rPr>
          <w:sz w:val="24"/>
        </w:rPr>
        <w:t>10%</w:t>
      </w:r>
      <w:r>
        <w:rPr>
          <w:rFonts w:hint="eastAsia"/>
          <w:sz w:val="24"/>
        </w:rPr>
        <w:t>以上，该交易涉及的资产总额同时存在</w:t>
      </w:r>
      <w:r>
        <w:rPr>
          <w:rFonts w:hint="eastAsia"/>
          <w:sz w:val="24"/>
          <w:lang w:eastAsia="zh-CN"/>
        </w:rPr>
        <w:t>账面</w:t>
      </w:r>
      <w:r>
        <w:rPr>
          <w:rFonts w:hint="eastAsia"/>
          <w:sz w:val="24"/>
        </w:rPr>
        <w:t>值和评估值的，以较高者作为计算数据；</w:t>
      </w:r>
      <w:r>
        <w:rPr>
          <w:sz w:val="24"/>
        </w:rPr>
        <w:t xml:space="preserve"> </w:t>
      </w:r>
      <w:r>
        <w:rPr>
          <w:sz w:val="24"/>
        </w:rPr>
        <w:br w:type="textWrapping"/>
      </w:r>
      <w:r>
        <w:rPr>
          <w:rFonts w:hint="eastAsia"/>
          <w:sz w:val="24"/>
        </w:rPr>
        <w:t>　　</w:t>
      </w:r>
      <w:r>
        <w:rPr>
          <w:rFonts w:hint="eastAsia" w:ascii="宋体" w:hAnsi="宋体" w:eastAsia="宋体" w:cs="宋体"/>
          <w:kern w:val="0"/>
          <w:sz w:val="24"/>
          <w:szCs w:val="28"/>
        </w:rPr>
        <w:t xml:space="preserve"> 2</w:t>
      </w:r>
      <w:r>
        <w:rPr>
          <w:rFonts w:hint="eastAsia" w:ascii="宋体" w:hAnsi="宋体" w:eastAsia="宋体" w:cs="宋体"/>
          <w:kern w:val="0"/>
          <w:sz w:val="24"/>
          <w:szCs w:val="28"/>
          <w:lang w:val="en-US" w:eastAsia="zh-CN"/>
        </w:rPr>
        <w:t>.</w:t>
      </w:r>
      <w:r>
        <w:rPr>
          <w:rFonts w:hint="eastAsia" w:ascii="宋体" w:hAnsi="宋体" w:eastAsia="宋体" w:cs="宋体"/>
          <w:kern w:val="0"/>
          <w:sz w:val="24"/>
          <w:szCs w:val="28"/>
        </w:rPr>
        <w:t>交易标的</w:t>
      </w:r>
      <w:r>
        <w:rPr>
          <w:rFonts w:hint="eastAsia" w:ascii="宋体" w:hAnsi="宋体" w:eastAsia="宋体" w:cs="宋体"/>
          <w:sz w:val="24"/>
        </w:rPr>
        <w:t xml:space="preserve">(如股权)在最近一个会计年度相关的主营业务收入占公司最近一个会计年度经审计主营业务收入的10％以上，且绝对金额超过1,000万元； </w:t>
      </w:r>
      <w:r>
        <w:rPr>
          <w:rFonts w:hint="eastAsia" w:ascii="宋体" w:hAnsi="宋体" w:eastAsia="宋体" w:cs="宋体"/>
          <w:sz w:val="24"/>
        </w:rPr>
        <w:br w:type="textWrapping"/>
      </w:r>
      <w:r>
        <w:rPr>
          <w:rFonts w:hint="eastAsia" w:ascii="宋体" w:hAnsi="宋体" w:eastAsia="宋体" w:cs="宋体"/>
          <w:sz w:val="24"/>
        </w:rPr>
        <w:t>　　</w:t>
      </w:r>
      <w:r>
        <w:rPr>
          <w:rFonts w:hint="eastAsia" w:ascii="宋体" w:hAnsi="宋体" w:eastAsia="宋体" w:cs="宋体"/>
          <w:kern w:val="0"/>
          <w:sz w:val="24"/>
          <w:szCs w:val="28"/>
        </w:rPr>
        <w:t xml:space="preserve"> 3</w:t>
      </w:r>
      <w:r>
        <w:rPr>
          <w:rFonts w:hint="eastAsia" w:ascii="宋体" w:hAnsi="宋体" w:eastAsia="宋体" w:cs="宋体"/>
          <w:kern w:val="0"/>
          <w:sz w:val="24"/>
          <w:szCs w:val="28"/>
          <w:lang w:val="en-US" w:eastAsia="zh-CN"/>
        </w:rPr>
        <w:t>.</w:t>
      </w:r>
      <w:r>
        <w:rPr>
          <w:rFonts w:hint="eastAsia" w:ascii="宋体" w:hAnsi="宋体" w:eastAsia="宋体" w:cs="宋体"/>
          <w:kern w:val="0"/>
          <w:sz w:val="24"/>
          <w:szCs w:val="28"/>
        </w:rPr>
        <w:t>交易标</w:t>
      </w:r>
      <w:r>
        <w:rPr>
          <w:rFonts w:hint="eastAsia" w:ascii="宋体" w:hAnsi="宋体" w:eastAsia="宋体" w:cs="宋体"/>
          <w:sz w:val="24"/>
        </w:rPr>
        <w:t xml:space="preserve">的(如股权)在最近一个会计年度相关的净利润占公司最近一个会计年度经审计净利润的10％以上，且绝对金额超过100万元； </w:t>
      </w:r>
      <w:r>
        <w:rPr>
          <w:rFonts w:hint="eastAsia" w:ascii="宋体" w:hAnsi="宋体" w:eastAsia="宋体" w:cs="宋体"/>
          <w:sz w:val="24"/>
        </w:rPr>
        <w:br w:type="textWrapping"/>
      </w:r>
      <w:r>
        <w:rPr>
          <w:rFonts w:hint="eastAsia" w:ascii="宋体" w:hAnsi="宋体" w:eastAsia="宋体" w:cs="宋体"/>
          <w:kern w:val="0"/>
          <w:sz w:val="24"/>
          <w:szCs w:val="28"/>
        </w:rPr>
        <w:t>　　 4</w:t>
      </w:r>
      <w:r>
        <w:rPr>
          <w:rFonts w:hint="eastAsia" w:ascii="宋体" w:hAnsi="宋体" w:eastAsia="宋体" w:cs="宋体"/>
          <w:kern w:val="0"/>
          <w:sz w:val="24"/>
          <w:szCs w:val="28"/>
          <w:lang w:val="en-US" w:eastAsia="zh-CN"/>
        </w:rPr>
        <w:t>.</w:t>
      </w:r>
      <w:r>
        <w:rPr>
          <w:rFonts w:hint="eastAsia" w:ascii="宋体" w:hAnsi="宋体" w:eastAsia="宋体" w:cs="宋体"/>
          <w:kern w:val="0"/>
          <w:sz w:val="24"/>
          <w:szCs w:val="28"/>
        </w:rPr>
        <w:t>交易的</w:t>
      </w:r>
      <w:r>
        <w:rPr>
          <w:rFonts w:hint="eastAsia" w:ascii="宋体" w:hAnsi="宋体" w:eastAsia="宋体" w:cs="宋体"/>
          <w:sz w:val="24"/>
        </w:rPr>
        <w:t xml:space="preserve">成交金额（包括承担的债务和费用）占公司最近一期经审计净资产的10％以上，且绝对金额超过1,000万元； </w:t>
      </w:r>
      <w:r>
        <w:rPr>
          <w:rFonts w:hint="eastAsia" w:ascii="宋体" w:hAnsi="宋体" w:eastAsia="宋体" w:cs="宋体"/>
          <w:sz w:val="24"/>
        </w:rPr>
        <w:br w:type="textWrapping"/>
      </w:r>
      <w:r>
        <w:rPr>
          <w:rFonts w:hint="eastAsia"/>
          <w:sz w:val="24"/>
        </w:rPr>
        <w:t>　　</w:t>
      </w:r>
      <w:r>
        <w:rPr>
          <w:rFonts w:hint="eastAsia" w:ascii="宋体" w:hAnsi="宋体" w:cs="楷体_GB2312"/>
          <w:kern w:val="0"/>
          <w:sz w:val="24"/>
          <w:szCs w:val="28"/>
        </w:rPr>
        <w:t xml:space="preserve"> 5</w:t>
      </w:r>
      <w:r>
        <w:rPr>
          <w:rFonts w:hint="eastAsia" w:ascii="宋体" w:hAnsi="宋体" w:cs="楷体_GB2312"/>
          <w:kern w:val="0"/>
          <w:sz w:val="24"/>
          <w:szCs w:val="28"/>
          <w:lang w:val="en-US" w:eastAsia="zh-CN"/>
        </w:rPr>
        <w:t>.</w:t>
      </w:r>
      <w:r>
        <w:rPr>
          <w:rFonts w:hint="eastAsia" w:ascii="宋体" w:hAnsi="宋体" w:cs="楷体_GB2312"/>
          <w:kern w:val="0"/>
          <w:sz w:val="24"/>
          <w:szCs w:val="28"/>
        </w:rPr>
        <w:t>交易产</w:t>
      </w:r>
      <w:r>
        <w:rPr>
          <w:rFonts w:hint="eastAsia"/>
          <w:sz w:val="24"/>
        </w:rPr>
        <w:t>生的利润占公司最近一个会计年度经审计净利润的</w:t>
      </w:r>
      <w:r>
        <w:rPr>
          <w:sz w:val="24"/>
        </w:rPr>
        <w:t>10</w:t>
      </w:r>
      <w:r>
        <w:rPr>
          <w:rFonts w:hint="eastAsia"/>
          <w:sz w:val="24"/>
        </w:rPr>
        <w:t>％以上，且绝对金额超过</w:t>
      </w:r>
      <w:r>
        <w:rPr>
          <w:sz w:val="24"/>
        </w:rPr>
        <w:t>100</w:t>
      </w:r>
      <w:r>
        <w:rPr>
          <w:rFonts w:hint="eastAsia"/>
          <w:sz w:val="24"/>
        </w:rPr>
        <w:t>万元。</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上述指标计算中涉及的数据如为负值，取其绝对值计算。</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（三）关联交易事项：</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sz w:val="24"/>
        </w:rPr>
      </w:pPr>
      <w:r>
        <w:rPr>
          <w:rFonts w:hint="eastAsia"/>
          <w:sz w:val="24"/>
        </w:rPr>
        <w:t>关联交易是指公司或控股子公司与公司关联人之间发生的转移资源或义务的事项，包括：</w:t>
      </w:r>
      <w:r>
        <w:rPr>
          <w:sz w:val="24"/>
        </w:rPr>
        <w:t xml:space="preserve"> </w:t>
      </w:r>
      <w:r>
        <w:rPr>
          <w:sz w:val="24"/>
        </w:rPr>
        <w:br w:type="textWrapping"/>
      </w:r>
      <w:r>
        <w:rPr>
          <w:rFonts w:hint="eastAsia"/>
          <w:sz w:val="24"/>
        </w:rPr>
        <w:t>　　</w:t>
      </w:r>
      <w:r>
        <w:rPr>
          <w:sz w:val="24"/>
        </w:rPr>
        <w:t xml:space="preserve"> </w:t>
      </w:r>
      <w:r>
        <w:rPr>
          <w:rFonts w:hint="eastAsia" w:ascii="宋体" w:hAnsi="宋体" w:cs="楷体_GB2312"/>
          <w:kern w:val="0"/>
          <w:sz w:val="24"/>
          <w:szCs w:val="28"/>
        </w:rPr>
        <w:t>1</w:t>
      </w:r>
      <w:r>
        <w:rPr>
          <w:rFonts w:hint="eastAsia" w:ascii="宋体" w:hAnsi="宋体" w:cs="楷体_GB2312"/>
          <w:kern w:val="0"/>
          <w:sz w:val="24"/>
          <w:szCs w:val="28"/>
          <w:lang w:val="en-US" w:eastAsia="zh-CN"/>
        </w:rPr>
        <w:t>.</w:t>
      </w:r>
      <w:r>
        <w:rPr>
          <w:rFonts w:hint="eastAsia" w:ascii="宋体" w:hAnsi="宋体" w:cs="楷体_GB2312"/>
          <w:kern w:val="0"/>
          <w:sz w:val="24"/>
          <w:szCs w:val="28"/>
        </w:rPr>
        <w:t xml:space="preserve">第十条第（二）款规定的交易事项； </w:t>
      </w:r>
      <w:r>
        <w:rPr>
          <w:rFonts w:hint="eastAsia" w:ascii="宋体" w:hAnsi="宋体" w:cs="楷体_GB2312"/>
          <w:kern w:val="0"/>
          <w:sz w:val="24"/>
          <w:szCs w:val="28"/>
        </w:rPr>
        <w:br w:type="textWrapping"/>
      </w:r>
      <w:r>
        <w:rPr>
          <w:rFonts w:hint="eastAsia" w:ascii="宋体" w:hAnsi="宋体" w:cs="楷体_GB2312"/>
          <w:kern w:val="0"/>
          <w:sz w:val="24"/>
          <w:szCs w:val="28"/>
        </w:rPr>
        <w:t>　　 2</w:t>
      </w:r>
      <w:r>
        <w:rPr>
          <w:rFonts w:hint="eastAsia" w:ascii="宋体" w:hAnsi="宋体" w:cs="楷体_GB2312"/>
          <w:kern w:val="0"/>
          <w:sz w:val="24"/>
          <w:szCs w:val="28"/>
          <w:lang w:val="en-US" w:eastAsia="zh-CN"/>
        </w:rPr>
        <w:t>.</w:t>
      </w:r>
      <w:r>
        <w:rPr>
          <w:rFonts w:hint="eastAsia" w:ascii="宋体" w:hAnsi="宋体" w:cs="楷体_GB2312"/>
          <w:kern w:val="0"/>
          <w:sz w:val="24"/>
          <w:szCs w:val="28"/>
        </w:rPr>
        <w:t xml:space="preserve">购买原材料、燃料、动力； </w:t>
      </w:r>
      <w:r>
        <w:rPr>
          <w:rFonts w:hint="eastAsia" w:ascii="宋体" w:hAnsi="宋体" w:cs="楷体_GB2312"/>
          <w:kern w:val="0"/>
          <w:sz w:val="24"/>
          <w:szCs w:val="28"/>
        </w:rPr>
        <w:br w:type="textWrapping"/>
      </w:r>
      <w:r>
        <w:rPr>
          <w:rFonts w:hint="eastAsia" w:ascii="宋体" w:hAnsi="宋体" w:cs="楷体_GB2312"/>
          <w:kern w:val="0"/>
          <w:sz w:val="24"/>
          <w:szCs w:val="28"/>
        </w:rPr>
        <w:t>　　 3</w:t>
      </w:r>
      <w:r>
        <w:rPr>
          <w:rFonts w:hint="eastAsia" w:ascii="宋体" w:hAnsi="宋体" w:cs="楷体_GB2312"/>
          <w:kern w:val="0"/>
          <w:sz w:val="24"/>
          <w:szCs w:val="28"/>
          <w:lang w:val="en-US" w:eastAsia="zh-CN"/>
        </w:rPr>
        <w:t>.</w:t>
      </w:r>
      <w:r>
        <w:rPr>
          <w:rFonts w:hint="eastAsia" w:ascii="宋体" w:hAnsi="宋体" w:cs="楷体_GB2312"/>
          <w:kern w:val="0"/>
          <w:sz w:val="24"/>
          <w:szCs w:val="28"/>
        </w:rPr>
        <w:t xml:space="preserve">销售产品、商品； </w:t>
      </w:r>
      <w:r>
        <w:rPr>
          <w:rFonts w:hint="eastAsia" w:ascii="宋体" w:hAnsi="宋体" w:cs="楷体_GB2312"/>
          <w:kern w:val="0"/>
          <w:sz w:val="24"/>
          <w:szCs w:val="28"/>
        </w:rPr>
        <w:br w:type="textWrapping"/>
      </w:r>
      <w:r>
        <w:rPr>
          <w:rFonts w:hint="eastAsia" w:ascii="宋体" w:hAnsi="宋体" w:cs="楷体_GB2312"/>
          <w:kern w:val="0"/>
          <w:sz w:val="24"/>
          <w:szCs w:val="28"/>
        </w:rPr>
        <w:t>　　 4</w:t>
      </w:r>
      <w:r>
        <w:rPr>
          <w:rFonts w:hint="eastAsia" w:ascii="宋体" w:hAnsi="宋体" w:cs="楷体_GB2312"/>
          <w:kern w:val="0"/>
          <w:sz w:val="24"/>
          <w:szCs w:val="28"/>
          <w:lang w:val="en-US" w:eastAsia="zh-CN"/>
        </w:rPr>
        <w:t>.</w:t>
      </w:r>
      <w:r>
        <w:rPr>
          <w:rFonts w:hint="eastAsia" w:ascii="宋体" w:hAnsi="宋体" w:cs="楷体_GB2312"/>
          <w:kern w:val="0"/>
          <w:sz w:val="24"/>
          <w:szCs w:val="28"/>
        </w:rPr>
        <w:t xml:space="preserve">提供或接受劳务； </w:t>
      </w:r>
      <w:r>
        <w:rPr>
          <w:rFonts w:hint="eastAsia" w:ascii="宋体" w:hAnsi="宋体" w:cs="楷体_GB2312"/>
          <w:kern w:val="0"/>
          <w:sz w:val="24"/>
          <w:szCs w:val="28"/>
        </w:rPr>
        <w:br w:type="textWrapping"/>
      </w:r>
      <w:r>
        <w:rPr>
          <w:rFonts w:hint="eastAsia" w:ascii="宋体" w:hAnsi="宋体" w:cs="楷体_GB2312"/>
          <w:kern w:val="0"/>
          <w:sz w:val="24"/>
          <w:szCs w:val="28"/>
        </w:rPr>
        <w:t>　　 5</w:t>
      </w:r>
      <w:r>
        <w:rPr>
          <w:rFonts w:hint="eastAsia" w:ascii="宋体" w:hAnsi="宋体" w:cs="楷体_GB2312"/>
          <w:kern w:val="0"/>
          <w:sz w:val="24"/>
          <w:szCs w:val="28"/>
          <w:lang w:val="en-US" w:eastAsia="zh-CN"/>
        </w:rPr>
        <w:t>.</w:t>
      </w:r>
      <w:r>
        <w:rPr>
          <w:rFonts w:hint="eastAsia" w:ascii="宋体" w:hAnsi="宋体" w:cs="楷体_GB2312"/>
          <w:kern w:val="0"/>
          <w:sz w:val="24"/>
          <w:szCs w:val="28"/>
        </w:rPr>
        <w:t xml:space="preserve">委托或受托销售； </w:t>
      </w:r>
      <w:r>
        <w:rPr>
          <w:rFonts w:hint="eastAsia" w:ascii="宋体" w:hAnsi="宋体" w:cs="楷体_GB2312"/>
          <w:kern w:val="0"/>
          <w:sz w:val="24"/>
          <w:szCs w:val="28"/>
        </w:rPr>
        <w:br w:type="textWrapping"/>
      </w:r>
      <w:r>
        <w:rPr>
          <w:rFonts w:hint="eastAsia" w:ascii="宋体" w:hAnsi="宋体" w:cs="楷体_GB2312"/>
          <w:kern w:val="0"/>
          <w:sz w:val="24"/>
          <w:szCs w:val="28"/>
        </w:rPr>
        <w:t>　　 6</w:t>
      </w:r>
      <w:r>
        <w:rPr>
          <w:rFonts w:hint="eastAsia" w:ascii="宋体" w:hAnsi="宋体" w:cs="楷体_GB2312"/>
          <w:kern w:val="0"/>
          <w:sz w:val="24"/>
          <w:szCs w:val="28"/>
          <w:lang w:val="en-US" w:eastAsia="zh-CN"/>
        </w:rPr>
        <w:t>.</w:t>
      </w:r>
      <w:r>
        <w:rPr>
          <w:rFonts w:hint="eastAsia" w:ascii="宋体" w:hAnsi="宋体" w:cs="楷体_GB2312"/>
          <w:kern w:val="0"/>
          <w:sz w:val="24"/>
          <w:szCs w:val="28"/>
        </w:rPr>
        <w:t xml:space="preserve">与关联人共同投资； </w:t>
      </w:r>
      <w:r>
        <w:rPr>
          <w:rFonts w:hint="eastAsia" w:ascii="宋体" w:hAnsi="宋体" w:cs="楷体_GB2312"/>
          <w:kern w:val="0"/>
          <w:sz w:val="24"/>
          <w:szCs w:val="28"/>
        </w:rPr>
        <w:br w:type="textWrapping"/>
      </w:r>
      <w:r>
        <w:rPr>
          <w:rFonts w:hint="eastAsia" w:ascii="宋体" w:hAnsi="宋体" w:cs="楷体_GB2312"/>
          <w:kern w:val="0"/>
          <w:sz w:val="24"/>
          <w:szCs w:val="28"/>
        </w:rPr>
        <w:t>　　 7</w:t>
      </w:r>
      <w:r>
        <w:rPr>
          <w:rFonts w:hint="eastAsia" w:ascii="宋体" w:hAnsi="宋体" w:cs="楷体_GB2312"/>
          <w:kern w:val="0"/>
          <w:sz w:val="24"/>
          <w:szCs w:val="28"/>
          <w:lang w:val="en-US" w:eastAsia="zh-CN"/>
        </w:rPr>
        <w:t>.</w:t>
      </w:r>
      <w:r>
        <w:rPr>
          <w:rFonts w:hint="eastAsia" w:ascii="宋体" w:hAnsi="宋体" w:cs="楷体_GB2312"/>
          <w:kern w:val="0"/>
          <w:sz w:val="24"/>
          <w:szCs w:val="28"/>
        </w:rPr>
        <w:t>其他通</w:t>
      </w:r>
      <w:r>
        <w:rPr>
          <w:rFonts w:hint="eastAsia"/>
          <w:sz w:val="24"/>
        </w:rPr>
        <w:t>过约定可能造成资源或义务转移的事项。</w:t>
      </w:r>
      <w:r>
        <w:rPr>
          <w:sz w:val="24"/>
        </w:rPr>
        <w:t xml:space="preserve"> </w:t>
      </w:r>
      <w:r>
        <w:rPr>
          <w:sz w:val="24"/>
        </w:rPr>
        <w:br w:type="textWrapping"/>
      </w:r>
      <w:r>
        <w:rPr>
          <w:rFonts w:hint="eastAsia"/>
          <w:sz w:val="24"/>
        </w:rPr>
        <w:t>　　</w:t>
      </w:r>
      <w:r>
        <w:rPr>
          <w:sz w:val="24"/>
        </w:rPr>
        <w:t xml:space="preserve"> </w:t>
      </w:r>
      <w:r>
        <w:rPr>
          <w:rFonts w:hint="eastAsia"/>
          <w:sz w:val="24"/>
        </w:rPr>
        <w:t>公司的关联人包括关联法人和关联自然人。关联人的认定标准依照《深圳证券交易所股票上市规则》有关规定。</w:t>
      </w:r>
      <w:r>
        <w:rPr>
          <w:sz w:val="24"/>
        </w:rPr>
        <w:t xml:space="preserve"> </w:t>
      </w:r>
      <w:r>
        <w:rPr>
          <w:sz w:val="24"/>
        </w:rPr>
        <w:br w:type="textWrapping"/>
      </w:r>
      <w:r>
        <w:rPr>
          <w:rFonts w:hint="eastAsia"/>
          <w:sz w:val="24"/>
        </w:rPr>
        <w:t>　　公司为关联人提供担保的，不论数额大小，均应及时报告。发生的关联交易达到下列标准之一的，应当报告：</w:t>
      </w:r>
      <w:r>
        <w:rPr>
          <w:sz w:val="24"/>
        </w:rPr>
        <w:t xml:space="preserve"> </w:t>
      </w:r>
      <w:r>
        <w:rPr>
          <w:sz w:val="24"/>
        </w:rPr>
        <w:br w:type="textWrapping"/>
      </w:r>
      <w:r>
        <w:rPr>
          <w:rFonts w:hint="eastAsia"/>
          <w:sz w:val="24"/>
        </w:rPr>
        <w:t>　　</w:t>
      </w:r>
      <w:r>
        <w:rPr>
          <w:rFonts w:hint="eastAsia" w:ascii="宋体" w:hAnsi="宋体" w:cs="楷体_GB2312"/>
          <w:kern w:val="0"/>
          <w:sz w:val="24"/>
          <w:szCs w:val="28"/>
        </w:rPr>
        <w:t xml:space="preserve"> 1</w:t>
      </w:r>
      <w:r>
        <w:rPr>
          <w:rFonts w:hint="eastAsia" w:ascii="宋体" w:hAnsi="宋体" w:cs="楷体_GB2312"/>
          <w:kern w:val="0"/>
          <w:sz w:val="24"/>
          <w:szCs w:val="28"/>
          <w:lang w:val="en-US" w:eastAsia="zh-CN"/>
        </w:rPr>
        <w:t>.</w:t>
      </w:r>
      <w:r>
        <w:rPr>
          <w:rFonts w:hint="eastAsia" w:ascii="宋体" w:hAnsi="宋体" w:cs="楷体_GB2312"/>
          <w:kern w:val="0"/>
          <w:sz w:val="24"/>
          <w:szCs w:val="28"/>
        </w:rPr>
        <w:t>公司</w:t>
      </w:r>
      <w:r>
        <w:rPr>
          <w:rFonts w:hint="eastAsia"/>
          <w:sz w:val="24"/>
        </w:rPr>
        <w:t>与关联法人发生的交易金额在</w:t>
      </w:r>
      <w:r>
        <w:rPr>
          <w:sz w:val="24"/>
        </w:rPr>
        <w:t>300</w:t>
      </w:r>
      <w:r>
        <w:rPr>
          <w:rFonts w:hint="eastAsia"/>
          <w:sz w:val="24"/>
        </w:rPr>
        <w:t>万元以上，且占公司最近一期经审计净资产绝对值</w:t>
      </w:r>
      <w:r>
        <w:rPr>
          <w:sz w:val="24"/>
        </w:rPr>
        <w:t>0.5%</w:t>
      </w:r>
      <w:r>
        <w:rPr>
          <w:rFonts w:hint="eastAsia"/>
          <w:sz w:val="24"/>
        </w:rPr>
        <w:t>以上的关联交易；</w:t>
      </w:r>
      <w:r>
        <w:rPr>
          <w:sz w:val="24"/>
        </w:rPr>
        <w:t xml:space="preserve"> </w:t>
      </w:r>
      <w:r>
        <w:rPr>
          <w:sz w:val="24"/>
        </w:rPr>
        <w:br w:type="textWrapping"/>
      </w:r>
      <w:r>
        <w:rPr>
          <w:rFonts w:hint="eastAsia"/>
          <w:sz w:val="24"/>
        </w:rPr>
        <w:t>　</w:t>
      </w:r>
      <w:r>
        <w:rPr>
          <w:rFonts w:hint="eastAsia" w:ascii="宋体" w:hAnsi="宋体" w:cs="楷体_GB2312"/>
          <w:kern w:val="0"/>
          <w:sz w:val="24"/>
          <w:szCs w:val="28"/>
        </w:rPr>
        <w:t>　 2</w:t>
      </w:r>
      <w:r>
        <w:rPr>
          <w:rFonts w:hint="eastAsia" w:ascii="宋体" w:hAnsi="宋体" w:cs="楷体_GB2312"/>
          <w:kern w:val="0"/>
          <w:sz w:val="24"/>
          <w:szCs w:val="28"/>
          <w:lang w:val="en-US" w:eastAsia="zh-CN"/>
        </w:rPr>
        <w:t>.</w:t>
      </w:r>
      <w:r>
        <w:rPr>
          <w:rFonts w:hint="eastAsia" w:ascii="宋体" w:hAnsi="宋体" w:cs="楷体_GB2312"/>
          <w:kern w:val="0"/>
          <w:sz w:val="24"/>
          <w:szCs w:val="28"/>
        </w:rPr>
        <w:t>公司</w:t>
      </w:r>
      <w:r>
        <w:rPr>
          <w:rFonts w:hint="eastAsia"/>
          <w:sz w:val="24"/>
        </w:rPr>
        <w:t>与关联自然人发生的交易金额在</w:t>
      </w:r>
      <w:r>
        <w:rPr>
          <w:sz w:val="24"/>
        </w:rPr>
        <w:t>30</w:t>
      </w:r>
      <w:r>
        <w:rPr>
          <w:rFonts w:hint="eastAsia"/>
          <w:sz w:val="24"/>
        </w:rPr>
        <w:t>万元以上的关联交易。</w:t>
      </w:r>
      <w:r>
        <w:rPr>
          <w:sz w:val="24"/>
        </w:rPr>
        <w:t xml:space="preserve"> </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ascii="宋体" w:hAnsi="宋体" w:cs="楷体_GB2312"/>
          <w:kern w:val="0"/>
          <w:sz w:val="24"/>
          <w:szCs w:val="28"/>
        </w:rPr>
      </w:pPr>
      <w:r>
        <w:rPr>
          <w:rFonts w:hint="eastAsia" w:ascii="宋体" w:hAnsi="宋体" w:cs="楷体_GB2312"/>
          <w:kern w:val="0"/>
          <w:sz w:val="24"/>
          <w:szCs w:val="28"/>
        </w:rPr>
        <w:t>（四）诉讼和仲裁事项：</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w:t>
      </w:r>
      <w:r>
        <w:rPr>
          <w:rFonts w:hint="eastAsia" w:ascii="宋体" w:hAnsi="宋体" w:cs="楷体_GB2312"/>
          <w:kern w:val="0"/>
          <w:sz w:val="24"/>
          <w:szCs w:val="28"/>
          <w:lang w:val="en-US" w:eastAsia="zh-CN"/>
        </w:rPr>
        <w:t>.</w:t>
      </w:r>
      <w:r>
        <w:rPr>
          <w:rFonts w:hint="eastAsia" w:ascii="宋体" w:hAnsi="宋体" w:cs="楷体_GB2312"/>
          <w:kern w:val="0"/>
          <w:sz w:val="24"/>
          <w:szCs w:val="28"/>
        </w:rPr>
        <w:t>涉及金</w:t>
      </w:r>
      <w:r>
        <w:rPr>
          <w:rFonts w:hint="eastAsia"/>
          <w:sz w:val="24"/>
        </w:rPr>
        <w:t>额占公司最近一期经审计净资产绝对值</w:t>
      </w:r>
      <w:r>
        <w:rPr>
          <w:sz w:val="24"/>
        </w:rPr>
        <w:t>5</w:t>
      </w:r>
      <w:r>
        <w:rPr>
          <w:rFonts w:hint="eastAsia"/>
          <w:sz w:val="24"/>
        </w:rPr>
        <w:t>％以上，且绝对金额超过</w:t>
      </w:r>
      <w:r>
        <w:rPr>
          <w:sz w:val="24"/>
        </w:rPr>
        <w:t>500</w:t>
      </w:r>
      <w:r>
        <w:rPr>
          <w:rFonts w:hint="eastAsia"/>
          <w:sz w:val="24"/>
        </w:rPr>
        <w:t>万元的重大诉讼、仲裁事项；</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2</w:t>
      </w:r>
      <w:r>
        <w:rPr>
          <w:rFonts w:hint="eastAsia" w:ascii="宋体" w:hAnsi="宋体" w:cs="楷体_GB2312"/>
          <w:kern w:val="0"/>
          <w:sz w:val="24"/>
          <w:szCs w:val="28"/>
          <w:lang w:val="en-US" w:eastAsia="zh-CN"/>
        </w:rPr>
        <w:t>.</w:t>
      </w:r>
      <w:r>
        <w:rPr>
          <w:rFonts w:hint="eastAsia" w:ascii="宋体" w:hAnsi="宋体" w:cs="楷体_GB2312"/>
          <w:kern w:val="0"/>
          <w:sz w:val="24"/>
          <w:szCs w:val="28"/>
        </w:rPr>
        <w:t>连续十二个月内发生的诉讼和仲裁事项涉案金额累计达到前款所述标准的，适用该条规定。</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（五）其它重大事件：</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w:t>
      </w:r>
      <w:r>
        <w:rPr>
          <w:rFonts w:hint="eastAsia" w:ascii="宋体" w:hAnsi="宋体" w:cs="楷体_GB2312"/>
          <w:kern w:val="0"/>
          <w:sz w:val="24"/>
          <w:szCs w:val="28"/>
          <w:lang w:val="en-US" w:eastAsia="zh-CN"/>
        </w:rPr>
        <w:t>.</w:t>
      </w:r>
      <w:r>
        <w:rPr>
          <w:rFonts w:hint="eastAsia" w:ascii="宋体" w:hAnsi="宋体" w:cs="楷体_GB2312"/>
          <w:kern w:val="0"/>
          <w:sz w:val="24"/>
          <w:szCs w:val="28"/>
        </w:rPr>
        <w:t>变更募集资金投资项目；</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2</w:t>
      </w:r>
      <w:r>
        <w:rPr>
          <w:rFonts w:hint="eastAsia" w:ascii="宋体" w:hAnsi="宋体" w:cs="楷体_GB2312"/>
          <w:kern w:val="0"/>
          <w:sz w:val="24"/>
          <w:szCs w:val="28"/>
          <w:lang w:val="en-US" w:eastAsia="zh-CN"/>
        </w:rPr>
        <w:t>.</w:t>
      </w:r>
      <w:r>
        <w:rPr>
          <w:rFonts w:hint="eastAsia" w:ascii="宋体" w:hAnsi="宋体" w:cs="楷体_GB2312"/>
          <w:kern w:val="0"/>
          <w:sz w:val="24"/>
          <w:szCs w:val="28"/>
        </w:rPr>
        <w:t>业绩发生大幅度变化（50%以上）、业绩预测及业绩预测的修正；</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3</w:t>
      </w:r>
      <w:r>
        <w:rPr>
          <w:rFonts w:hint="eastAsia" w:ascii="宋体" w:hAnsi="宋体" w:cs="楷体_GB2312"/>
          <w:kern w:val="0"/>
          <w:sz w:val="24"/>
          <w:szCs w:val="28"/>
          <w:lang w:val="en-US" w:eastAsia="zh-CN"/>
        </w:rPr>
        <w:t>.</w:t>
      </w:r>
      <w:r>
        <w:rPr>
          <w:rFonts w:hint="eastAsia" w:ascii="宋体" w:hAnsi="宋体" w:cs="楷体_GB2312"/>
          <w:kern w:val="0"/>
          <w:sz w:val="24"/>
          <w:szCs w:val="28"/>
        </w:rPr>
        <w:t>利润分配和资本公积金转增股本；</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4</w:t>
      </w:r>
      <w:r>
        <w:rPr>
          <w:rFonts w:hint="eastAsia" w:ascii="宋体" w:hAnsi="宋体" w:cs="楷体_GB2312"/>
          <w:kern w:val="0"/>
          <w:sz w:val="24"/>
          <w:szCs w:val="28"/>
          <w:lang w:val="en-US" w:eastAsia="zh-CN"/>
        </w:rPr>
        <w:t>.</w:t>
      </w:r>
      <w:r>
        <w:rPr>
          <w:rFonts w:hint="eastAsia" w:ascii="宋体" w:hAnsi="宋体" w:cs="楷体_GB2312"/>
          <w:kern w:val="0"/>
          <w:sz w:val="24"/>
          <w:szCs w:val="28"/>
        </w:rPr>
        <w:t>股票交易异常波动和澄清事项；</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5</w:t>
      </w:r>
      <w:r>
        <w:rPr>
          <w:rFonts w:hint="eastAsia" w:ascii="宋体" w:hAnsi="宋体" w:cs="楷体_GB2312"/>
          <w:kern w:val="0"/>
          <w:sz w:val="24"/>
          <w:szCs w:val="28"/>
          <w:lang w:val="en-US" w:eastAsia="zh-CN"/>
        </w:rPr>
        <w:t>.</w:t>
      </w:r>
      <w:r>
        <w:rPr>
          <w:rFonts w:hint="eastAsia" w:ascii="宋体" w:hAnsi="宋体" w:cs="楷体_GB2312"/>
          <w:kern w:val="0"/>
          <w:sz w:val="24"/>
          <w:szCs w:val="28"/>
        </w:rPr>
        <w:t>可转换公司债券涉及的重大事项；</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6</w:t>
      </w:r>
      <w:r>
        <w:rPr>
          <w:rFonts w:hint="eastAsia" w:ascii="宋体" w:hAnsi="宋体" w:cs="楷体_GB2312"/>
          <w:kern w:val="0"/>
          <w:sz w:val="24"/>
          <w:szCs w:val="28"/>
          <w:lang w:val="en-US" w:eastAsia="zh-CN"/>
        </w:rPr>
        <w:t>.</w:t>
      </w:r>
      <w:r>
        <w:rPr>
          <w:rFonts w:hint="eastAsia" w:ascii="宋体" w:hAnsi="宋体" w:cs="楷体_GB2312"/>
          <w:kern w:val="0"/>
          <w:sz w:val="24"/>
          <w:szCs w:val="28"/>
        </w:rPr>
        <w:t>公司及公司股东发生承诺事项；</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7</w:t>
      </w:r>
      <w:r>
        <w:rPr>
          <w:rFonts w:hint="eastAsia" w:ascii="宋体" w:hAnsi="宋体" w:cs="楷体_GB2312"/>
          <w:kern w:val="0"/>
          <w:sz w:val="24"/>
          <w:szCs w:val="28"/>
          <w:lang w:val="en-US" w:eastAsia="zh-CN"/>
        </w:rPr>
        <w:t>.</w:t>
      </w:r>
      <w:r>
        <w:rPr>
          <w:rFonts w:hint="eastAsia" w:ascii="宋体" w:hAnsi="宋体" w:cs="楷体_GB2312"/>
          <w:kern w:val="0"/>
          <w:sz w:val="24"/>
          <w:szCs w:val="28"/>
        </w:rPr>
        <w:t>遭受重大损失，单次损失在50万元以上；</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8</w:t>
      </w:r>
      <w:r>
        <w:rPr>
          <w:rFonts w:hint="eastAsia" w:ascii="宋体" w:hAnsi="宋体" w:cs="楷体_GB2312"/>
          <w:kern w:val="0"/>
          <w:sz w:val="24"/>
          <w:szCs w:val="28"/>
          <w:lang w:val="en-US" w:eastAsia="zh-CN"/>
        </w:rPr>
        <w:t>.</w:t>
      </w:r>
      <w:r>
        <w:rPr>
          <w:rFonts w:hint="eastAsia" w:ascii="宋体" w:hAnsi="宋体" w:cs="楷体_GB2312"/>
          <w:kern w:val="0"/>
          <w:sz w:val="24"/>
          <w:szCs w:val="28"/>
        </w:rPr>
        <w:t>未清偿到期重大债务或重大债权到期未获清偿，金额达50万元以上；</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9</w:t>
      </w:r>
      <w:r>
        <w:rPr>
          <w:rFonts w:hint="eastAsia" w:ascii="宋体" w:hAnsi="宋体" w:cs="楷体_GB2312"/>
          <w:kern w:val="0"/>
          <w:sz w:val="24"/>
          <w:szCs w:val="28"/>
          <w:lang w:val="en-US" w:eastAsia="zh-CN"/>
        </w:rPr>
        <w:t>.</w:t>
      </w:r>
      <w:r>
        <w:rPr>
          <w:rFonts w:hint="eastAsia" w:ascii="宋体" w:hAnsi="宋体" w:cs="楷体_GB2312"/>
          <w:kern w:val="0"/>
          <w:sz w:val="24"/>
          <w:szCs w:val="28"/>
        </w:rPr>
        <w:t>可能依法承担重大违约责任或大额赔偿责任，金额在50万元以上；</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10</w:t>
      </w:r>
      <w:r>
        <w:rPr>
          <w:rFonts w:hint="eastAsia" w:ascii="宋体" w:hAnsi="宋体" w:cs="楷体_GB2312"/>
          <w:kern w:val="0"/>
          <w:sz w:val="24"/>
          <w:szCs w:val="28"/>
          <w:lang w:val="en-US" w:eastAsia="zh-CN"/>
        </w:rPr>
        <w:t>.</w:t>
      </w:r>
      <w:r>
        <w:rPr>
          <w:rFonts w:hint="eastAsia" w:ascii="宋体" w:hAnsi="宋体" w:cs="楷体_GB2312"/>
          <w:kern w:val="0"/>
          <w:sz w:val="24"/>
          <w:szCs w:val="28"/>
        </w:rPr>
        <w:t>计提大额资产减值准备；</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11</w:t>
      </w:r>
      <w:r>
        <w:rPr>
          <w:rFonts w:hint="eastAsia" w:ascii="宋体" w:hAnsi="宋体" w:cs="楷体_GB2312"/>
          <w:kern w:val="0"/>
          <w:sz w:val="24"/>
          <w:szCs w:val="28"/>
          <w:lang w:val="en-US" w:eastAsia="zh-CN"/>
        </w:rPr>
        <w:t>.</w:t>
      </w:r>
      <w:r>
        <w:rPr>
          <w:rFonts w:hint="eastAsia" w:ascii="宋体" w:hAnsi="宋体" w:cs="楷体_GB2312"/>
          <w:kern w:val="0"/>
          <w:sz w:val="24"/>
          <w:szCs w:val="28"/>
        </w:rPr>
        <w:t>股东会、董事会决议被法院依法撤销；</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12</w:t>
      </w:r>
      <w:r>
        <w:rPr>
          <w:rFonts w:hint="eastAsia" w:ascii="宋体" w:hAnsi="宋体" w:cs="楷体_GB2312"/>
          <w:kern w:val="0"/>
          <w:sz w:val="24"/>
          <w:szCs w:val="28"/>
          <w:lang w:val="en-US" w:eastAsia="zh-CN"/>
        </w:rPr>
        <w:t>.</w:t>
      </w:r>
      <w:r>
        <w:rPr>
          <w:rFonts w:hint="eastAsia" w:ascii="宋体" w:hAnsi="宋体" w:cs="楷体_GB2312"/>
          <w:kern w:val="0"/>
          <w:sz w:val="24"/>
          <w:szCs w:val="28"/>
        </w:rPr>
        <w:t>公司决定解散或被有权机关依法责令关闭；</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13</w:t>
      </w:r>
      <w:r>
        <w:rPr>
          <w:rFonts w:hint="eastAsia" w:ascii="宋体" w:hAnsi="宋体" w:cs="楷体_GB2312"/>
          <w:kern w:val="0"/>
          <w:sz w:val="24"/>
          <w:szCs w:val="28"/>
          <w:lang w:val="en-US" w:eastAsia="zh-CN"/>
        </w:rPr>
        <w:t>.</w:t>
      </w:r>
      <w:r>
        <w:rPr>
          <w:rFonts w:hint="eastAsia" w:ascii="宋体" w:hAnsi="宋体" w:cs="楷体_GB2312"/>
          <w:kern w:val="0"/>
          <w:sz w:val="24"/>
          <w:szCs w:val="28"/>
        </w:rPr>
        <w:t>公司预计出现资不抵债（一般指净资产为负值）；</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14</w:t>
      </w:r>
      <w:r>
        <w:rPr>
          <w:rFonts w:hint="eastAsia" w:ascii="宋体" w:hAnsi="宋体" w:cs="楷体_GB2312"/>
          <w:kern w:val="0"/>
          <w:sz w:val="24"/>
          <w:szCs w:val="28"/>
          <w:lang w:val="en-US" w:eastAsia="zh-CN"/>
        </w:rPr>
        <w:t>.</w:t>
      </w:r>
      <w:r>
        <w:rPr>
          <w:rFonts w:hint="eastAsia" w:ascii="宋体" w:hAnsi="宋体" w:cs="楷体_GB2312"/>
          <w:kern w:val="0"/>
          <w:sz w:val="24"/>
          <w:szCs w:val="28"/>
        </w:rPr>
        <w:t>主要债务人出现资不抵债或进入破产程序，公司对相应债权未提取足额坏账准备；</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15</w:t>
      </w:r>
      <w:r>
        <w:rPr>
          <w:rFonts w:hint="eastAsia" w:ascii="宋体" w:hAnsi="宋体" w:cs="楷体_GB2312"/>
          <w:kern w:val="0"/>
          <w:sz w:val="24"/>
          <w:szCs w:val="28"/>
          <w:lang w:val="en-US" w:eastAsia="zh-CN"/>
        </w:rPr>
        <w:t>.</w:t>
      </w:r>
      <w:r>
        <w:rPr>
          <w:rFonts w:hint="eastAsia" w:ascii="宋体" w:hAnsi="宋体" w:cs="楷体_GB2312"/>
          <w:kern w:val="0"/>
          <w:sz w:val="24"/>
          <w:szCs w:val="28"/>
        </w:rPr>
        <w:t>主要资产被查封、扣押、冻结或被抵押、质押；</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16</w:t>
      </w:r>
      <w:r>
        <w:rPr>
          <w:rFonts w:hint="eastAsia" w:ascii="宋体" w:hAnsi="宋体" w:cs="楷体_GB2312"/>
          <w:kern w:val="0"/>
          <w:sz w:val="24"/>
          <w:szCs w:val="28"/>
          <w:lang w:val="en-US" w:eastAsia="zh-CN"/>
        </w:rPr>
        <w:t>.</w:t>
      </w:r>
      <w:r>
        <w:rPr>
          <w:rFonts w:hint="eastAsia" w:ascii="宋体" w:hAnsi="宋体" w:cs="楷体_GB2312"/>
          <w:kern w:val="0"/>
          <w:sz w:val="24"/>
          <w:szCs w:val="28"/>
        </w:rPr>
        <w:t>主要或全部业务陷入停顿；</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17</w:t>
      </w:r>
      <w:r>
        <w:rPr>
          <w:rFonts w:hint="eastAsia" w:ascii="宋体" w:hAnsi="宋体" w:cs="楷体_GB2312"/>
          <w:kern w:val="0"/>
          <w:sz w:val="24"/>
          <w:szCs w:val="28"/>
          <w:lang w:val="en-US" w:eastAsia="zh-CN"/>
        </w:rPr>
        <w:t>.</w:t>
      </w:r>
      <w:r>
        <w:rPr>
          <w:rFonts w:hint="eastAsia" w:ascii="宋体" w:hAnsi="宋体" w:cs="楷体_GB2312"/>
          <w:kern w:val="0"/>
          <w:sz w:val="24"/>
          <w:szCs w:val="28"/>
        </w:rPr>
        <w:t>公司因涉嫌违法违规被有权机关调查，或受到重大行政、刑事处罚；</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18</w:t>
      </w:r>
      <w:r>
        <w:rPr>
          <w:rFonts w:hint="eastAsia" w:ascii="宋体" w:hAnsi="宋体" w:cs="楷体_GB2312"/>
          <w:kern w:val="0"/>
          <w:sz w:val="24"/>
          <w:szCs w:val="28"/>
          <w:lang w:val="en-US" w:eastAsia="zh-CN"/>
        </w:rPr>
        <w:t>.</w:t>
      </w:r>
      <w:r>
        <w:rPr>
          <w:rFonts w:hint="eastAsia" w:ascii="宋体" w:hAnsi="宋体" w:cs="楷体_GB2312"/>
          <w:kern w:val="0"/>
          <w:sz w:val="24"/>
          <w:szCs w:val="28"/>
        </w:rPr>
        <w:t>公司董事、高级管理人员无法履行职责或因涉嫌违法违纪被有权机关调查；</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19</w:t>
      </w:r>
      <w:r>
        <w:rPr>
          <w:rFonts w:hint="eastAsia" w:ascii="宋体" w:hAnsi="宋体" w:cs="楷体_GB2312"/>
          <w:kern w:val="0"/>
          <w:sz w:val="24"/>
          <w:szCs w:val="28"/>
          <w:lang w:val="en-US" w:eastAsia="zh-CN"/>
        </w:rPr>
        <w:t>.</w:t>
      </w:r>
      <w:r>
        <w:rPr>
          <w:rFonts w:hint="eastAsia" w:ascii="宋体" w:hAnsi="宋体" w:cs="楷体_GB2312"/>
          <w:kern w:val="0"/>
          <w:sz w:val="24"/>
          <w:szCs w:val="28"/>
        </w:rPr>
        <w:t>股东所持5%以上股份被质押、冻结、司法拍卖、托管或者设定信托。</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（六）重大变更事项：</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w:t>
      </w:r>
      <w:r>
        <w:rPr>
          <w:rFonts w:hint="eastAsia" w:ascii="宋体" w:hAnsi="宋体" w:cs="楷体_GB2312"/>
          <w:kern w:val="0"/>
          <w:sz w:val="24"/>
          <w:szCs w:val="28"/>
          <w:lang w:val="en-US" w:eastAsia="zh-CN"/>
        </w:rPr>
        <w:t>.</w:t>
      </w:r>
      <w:r>
        <w:rPr>
          <w:rFonts w:hint="eastAsia" w:ascii="宋体" w:hAnsi="宋体" w:cs="楷体_GB2312"/>
          <w:kern w:val="0"/>
          <w:sz w:val="24"/>
          <w:szCs w:val="28"/>
        </w:rPr>
        <w:t>变更公司名称、股票简称、公司章程、注册资本、注册地址、主要办公地址和联系电话等；</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2</w:t>
      </w:r>
      <w:r>
        <w:rPr>
          <w:rFonts w:hint="eastAsia" w:ascii="宋体" w:hAnsi="宋体" w:cs="楷体_GB2312"/>
          <w:kern w:val="0"/>
          <w:sz w:val="24"/>
          <w:szCs w:val="28"/>
          <w:lang w:val="en-US" w:eastAsia="zh-CN"/>
        </w:rPr>
        <w:t>.</w:t>
      </w:r>
      <w:r>
        <w:rPr>
          <w:rFonts w:hint="eastAsia" w:ascii="宋体" w:hAnsi="宋体" w:cs="楷体_GB2312"/>
          <w:kern w:val="0"/>
          <w:sz w:val="24"/>
          <w:szCs w:val="28"/>
        </w:rPr>
        <w:t>经营方针和经营范围发生重大变化；</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3</w:t>
      </w:r>
      <w:r>
        <w:rPr>
          <w:rFonts w:hint="eastAsia" w:ascii="宋体" w:hAnsi="宋体" w:cs="楷体_GB2312"/>
          <w:kern w:val="0"/>
          <w:sz w:val="24"/>
          <w:szCs w:val="28"/>
          <w:lang w:val="en-US" w:eastAsia="zh-CN"/>
        </w:rPr>
        <w:t>.</w:t>
      </w:r>
      <w:r>
        <w:rPr>
          <w:rFonts w:hint="eastAsia" w:ascii="宋体" w:hAnsi="宋体" w:cs="楷体_GB2312"/>
          <w:kern w:val="0"/>
          <w:sz w:val="24"/>
          <w:szCs w:val="28"/>
        </w:rPr>
        <w:t>变更会计政策或会计估计；</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4</w:t>
      </w:r>
      <w:r>
        <w:rPr>
          <w:rFonts w:hint="eastAsia" w:ascii="宋体" w:hAnsi="宋体" w:cs="楷体_GB2312"/>
          <w:kern w:val="0"/>
          <w:sz w:val="24"/>
          <w:szCs w:val="28"/>
          <w:lang w:val="en-US" w:eastAsia="zh-CN"/>
        </w:rPr>
        <w:t>.</w:t>
      </w:r>
      <w:r>
        <w:rPr>
          <w:rFonts w:hint="eastAsia" w:ascii="宋体" w:hAnsi="宋体" w:cs="楷体_GB2312"/>
          <w:kern w:val="0"/>
          <w:sz w:val="24"/>
          <w:szCs w:val="28"/>
        </w:rPr>
        <w:t>董事会就公司发行新股、可转换债券或其他再融资方案形成相关决议；</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5</w:t>
      </w:r>
      <w:r>
        <w:rPr>
          <w:rFonts w:hint="eastAsia" w:ascii="宋体" w:hAnsi="宋体" w:cs="楷体_GB2312"/>
          <w:kern w:val="0"/>
          <w:sz w:val="24"/>
          <w:szCs w:val="28"/>
          <w:lang w:val="en-US" w:eastAsia="zh-CN"/>
        </w:rPr>
        <w:t>.</w:t>
      </w:r>
      <w:r>
        <w:rPr>
          <w:rFonts w:hint="eastAsia" w:ascii="宋体" w:hAnsi="宋体" w:cs="楷体_GB2312"/>
          <w:kern w:val="0"/>
          <w:sz w:val="24"/>
          <w:szCs w:val="28"/>
        </w:rPr>
        <w:t>中国证监会股票发行审核委员会召开发审委会议，对公司新股、可转换债券发行申请或其他再融资方案提出了相应的审核意见；</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6</w:t>
      </w:r>
      <w:r>
        <w:rPr>
          <w:rFonts w:hint="eastAsia" w:ascii="宋体" w:hAnsi="宋体" w:cs="楷体_GB2312"/>
          <w:kern w:val="0"/>
          <w:sz w:val="24"/>
          <w:szCs w:val="28"/>
          <w:lang w:val="en-US" w:eastAsia="zh-CN"/>
        </w:rPr>
        <w:t>.</w:t>
      </w:r>
      <w:r>
        <w:rPr>
          <w:rFonts w:hint="eastAsia" w:ascii="宋体" w:hAnsi="宋体" w:cs="楷体_GB2312"/>
          <w:kern w:val="0"/>
          <w:sz w:val="24"/>
          <w:szCs w:val="28"/>
        </w:rPr>
        <w:t>公司董事长、</w:t>
      </w:r>
      <w:r>
        <w:rPr>
          <w:rFonts w:hint="eastAsia" w:ascii="宋体" w:hAnsi="宋体" w:cs="楷体_GB2312"/>
          <w:kern w:val="0"/>
          <w:sz w:val="24"/>
          <w:szCs w:val="28"/>
          <w:lang w:eastAsia="zh-CN"/>
        </w:rPr>
        <w:t>总裁</w:t>
      </w:r>
      <w:r>
        <w:rPr>
          <w:rFonts w:hint="eastAsia" w:ascii="宋体" w:hAnsi="宋体" w:cs="楷体_GB2312"/>
          <w:kern w:val="0"/>
          <w:sz w:val="24"/>
          <w:szCs w:val="28"/>
        </w:rPr>
        <w:t>、董事（含独立董事）、或三分之一以上的董事提出辞职或发生变动；</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7</w:t>
      </w:r>
      <w:r>
        <w:rPr>
          <w:rFonts w:hint="eastAsia" w:ascii="宋体" w:hAnsi="宋体" w:cs="楷体_GB2312"/>
          <w:kern w:val="0"/>
          <w:sz w:val="24"/>
          <w:szCs w:val="28"/>
          <w:lang w:val="en-US" w:eastAsia="zh-CN"/>
        </w:rPr>
        <w:t>.</w:t>
      </w:r>
      <w:r>
        <w:rPr>
          <w:rFonts w:hint="eastAsia" w:ascii="宋体" w:hAnsi="宋体" w:cs="楷体_GB2312"/>
          <w:kern w:val="0"/>
          <w:sz w:val="24"/>
          <w:szCs w:val="28"/>
        </w:rPr>
        <w:t>生产经营情况或生产环境发生重大变化（包括产品销售价格、原材料采购价格一个月内变动幅度达5%以上等）；</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8</w:t>
      </w:r>
      <w:r>
        <w:rPr>
          <w:rFonts w:hint="eastAsia" w:ascii="宋体" w:hAnsi="宋体" w:cs="楷体_GB2312"/>
          <w:kern w:val="0"/>
          <w:sz w:val="24"/>
          <w:szCs w:val="28"/>
          <w:lang w:val="en-US" w:eastAsia="zh-CN"/>
        </w:rPr>
        <w:t>.</w:t>
      </w:r>
      <w:r>
        <w:rPr>
          <w:rFonts w:hint="eastAsia" w:ascii="宋体" w:hAnsi="宋体" w:cs="楷体_GB2312"/>
          <w:kern w:val="0"/>
          <w:sz w:val="24"/>
          <w:szCs w:val="28"/>
        </w:rPr>
        <w:t>订立与生产经营相关的重要合同，可能对公司经营产生重大影响；</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9</w:t>
      </w:r>
      <w:r>
        <w:rPr>
          <w:rFonts w:hint="eastAsia" w:ascii="宋体" w:hAnsi="宋体" w:cs="楷体_GB2312"/>
          <w:kern w:val="0"/>
          <w:sz w:val="24"/>
          <w:szCs w:val="28"/>
          <w:lang w:val="en-US" w:eastAsia="zh-CN"/>
        </w:rPr>
        <w:t>.</w:t>
      </w:r>
      <w:r>
        <w:rPr>
          <w:rFonts w:hint="eastAsia" w:ascii="宋体" w:hAnsi="宋体" w:cs="楷体_GB2312"/>
          <w:kern w:val="0"/>
          <w:sz w:val="24"/>
          <w:szCs w:val="28"/>
        </w:rPr>
        <w:t>新颁布的法律、法规、规章、政策可能对公司经营产生重大影响；</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10</w:t>
      </w:r>
      <w:r>
        <w:rPr>
          <w:rFonts w:hint="eastAsia" w:ascii="宋体" w:hAnsi="宋体" w:cs="楷体_GB2312"/>
          <w:kern w:val="0"/>
          <w:sz w:val="24"/>
          <w:szCs w:val="28"/>
          <w:lang w:val="en-US" w:eastAsia="zh-CN"/>
        </w:rPr>
        <w:t>.</w:t>
      </w:r>
      <w:r>
        <w:rPr>
          <w:rFonts w:hint="eastAsia" w:ascii="宋体" w:hAnsi="宋体" w:cs="楷体_GB2312"/>
          <w:kern w:val="0"/>
          <w:sz w:val="24"/>
          <w:szCs w:val="28"/>
        </w:rPr>
        <w:t>聘任或解聘为公司审计的会计师事务所；</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11</w:t>
      </w:r>
      <w:r>
        <w:rPr>
          <w:rFonts w:hint="eastAsia" w:ascii="宋体" w:hAnsi="宋体" w:cs="楷体_GB2312"/>
          <w:kern w:val="0"/>
          <w:sz w:val="24"/>
          <w:szCs w:val="28"/>
          <w:lang w:val="en-US" w:eastAsia="zh-CN"/>
        </w:rPr>
        <w:t>.</w:t>
      </w:r>
      <w:r>
        <w:rPr>
          <w:rFonts w:hint="eastAsia" w:ascii="宋体" w:hAnsi="宋体" w:cs="楷体_GB2312"/>
          <w:kern w:val="0"/>
          <w:sz w:val="24"/>
          <w:szCs w:val="28"/>
        </w:rPr>
        <w:t>获得大额政府补贴等额外收益，转回大额资产减值准备或发生可能对公司资产、负债、权益或经营成果产生重大影响的其他事项；</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rPr>
        <w:t>12</w:t>
      </w:r>
      <w:r>
        <w:rPr>
          <w:rFonts w:hint="eastAsia" w:ascii="宋体" w:hAnsi="宋体" w:cs="楷体_GB2312"/>
          <w:kern w:val="0"/>
          <w:sz w:val="24"/>
          <w:szCs w:val="28"/>
          <w:lang w:val="en-US" w:eastAsia="zh-CN"/>
        </w:rPr>
        <w:t>.</w:t>
      </w:r>
      <w:r>
        <w:rPr>
          <w:rFonts w:hint="eastAsia" w:ascii="宋体" w:hAnsi="宋体" w:cs="楷体_GB2312"/>
          <w:kern w:val="0"/>
          <w:sz w:val="24"/>
          <w:szCs w:val="28"/>
        </w:rPr>
        <w:t>证券交易所或公司认定的其他情形。</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2" w:firstLineChars="225"/>
        <w:jc w:val="left"/>
        <w:textAlignment w:val="auto"/>
        <w:rPr>
          <w:rFonts w:hint="eastAsia" w:ascii="宋体" w:hAnsi="宋体" w:cs="楷体_GB2312"/>
          <w:kern w:val="0"/>
          <w:sz w:val="24"/>
          <w:szCs w:val="28"/>
        </w:rPr>
      </w:pPr>
      <w:r>
        <w:rPr>
          <w:rFonts w:hint="eastAsia" w:ascii="宋体" w:hAnsi="宋体" w:cs="楷体_GB2312"/>
          <w:b/>
          <w:bCs/>
          <w:kern w:val="0"/>
          <w:sz w:val="24"/>
          <w:szCs w:val="28"/>
        </w:rPr>
        <w:t>第十一条</w:t>
      </w:r>
      <w:r>
        <w:rPr>
          <w:rFonts w:hint="eastAsia" w:ascii="宋体" w:hAnsi="宋体" w:cs="楷体_GB2312"/>
          <w:kern w:val="0"/>
          <w:sz w:val="24"/>
          <w:szCs w:val="28"/>
        </w:rPr>
        <w:t xml:space="preserve">  公司控股股东或实际控制人发生或拟发生变更，公司控股股东应在就该事项达成意向后及时将该信息报告公司董事长、董事会秘书或证券事务代表，并持续报告变更的进程。如出现法院裁定禁止公司控股股东转让其持有的公司股份情形时，公司控股股东应在收到法院裁定后及时将该信息报告公司董事长和董事会秘书。</w:t>
      </w:r>
    </w:p>
    <w:p>
      <w:pPr>
        <w:keepNext w:val="0"/>
        <w:keepLines w:val="0"/>
        <w:pageBreakBefore w:val="0"/>
        <w:widowControl w:val="0"/>
        <w:kinsoku/>
        <w:wordWrap/>
        <w:overflowPunct/>
        <w:topLinePunct w:val="0"/>
        <w:autoSpaceDE w:val="0"/>
        <w:autoSpaceDN w:val="0"/>
        <w:bidi w:val="0"/>
        <w:adjustRightInd w:val="0"/>
        <w:snapToGrid w:val="0"/>
        <w:spacing w:before="157" w:beforeLines="50" w:after="157" w:afterLines="50" w:line="460" w:lineRule="exact"/>
        <w:jc w:val="center"/>
        <w:textAlignment w:val="auto"/>
        <w:rPr>
          <w:rFonts w:hint="default" w:ascii="宋体" w:hAnsi="宋体" w:eastAsia="宋体" w:cs="楷体_GB2312"/>
          <w:b/>
          <w:bCs/>
          <w:kern w:val="0"/>
          <w:sz w:val="24"/>
          <w:szCs w:val="28"/>
          <w:lang w:val="en-US" w:eastAsia="zh-CN"/>
        </w:rPr>
      </w:pPr>
      <w:r>
        <w:rPr>
          <w:rFonts w:hint="eastAsia" w:ascii="宋体" w:hAnsi="宋体" w:cs="楷体_GB2312"/>
          <w:b/>
          <w:bCs/>
          <w:kern w:val="0"/>
          <w:sz w:val="24"/>
          <w:szCs w:val="28"/>
          <w:lang w:eastAsia="zh-CN"/>
        </w:rPr>
        <w:t>第四章</w:t>
      </w:r>
      <w:r>
        <w:rPr>
          <w:rFonts w:hint="eastAsia" w:ascii="宋体" w:hAnsi="宋体" w:cs="楷体_GB2312"/>
          <w:b/>
          <w:bCs/>
          <w:kern w:val="0"/>
          <w:sz w:val="24"/>
          <w:szCs w:val="28"/>
          <w:lang w:val="en-US" w:eastAsia="zh-CN"/>
        </w:rPr>
        <w:t xml:space="preserve"> 重大信息内部报告程序与管理</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2" w:firstLineChars="225"/>
        <w:jc w:val="left"/>
        <w:textAlignment w:val="auto"/>
        <w:rPr>
          <w:rFonts w:hint="eastAsia" w:ascii="宋体" w:hAnsi="宋体" w:cs="楷体_GB2312"/>
          <w:kern w:val="0"/>
          <w:sz w:val="24"/>
          <w:szCs w:val="28"/>
        </w:rPr>
      </w:pPr>
      <w:r>
        <w:rPr>
          <w:rFonts w:hint="eastAsia"/>
          <w:b/>
          <w:bCs/>
          <w:sz w:val="24"/>
        </w:rPr>
        <w:t>第十二条</w:t>
      </w:r>
      <w:r>
        <w:rPr>
          <w:sz w:val="24"/>
        </w:rPr>
        <w:t xml:space="preserve"> </w:t>
      </w:r>
      <w:r>
        <w:rPr>
          <w:rFonts w:hint="eastAsia"/>
          <w:sz w:val="24"/>
          <w:lang w:val="en-US" w:eastAsia="zh-CN"/>
        </w:rPr>
        <w:t xml:space="preserve"> </w:t>
      </w:r>
      <w:r>
        <w:rPr>
          <w:rFonts w:hint="eastAsia"/>
          <w:sz w:val="24"/>
        </w:rPr>
        <w:t>公司实行重大信息实时报告制度。报告义务人应在知悉本制度所述的内部重大信息后的第一时间</w:t>
      </w:r>
      <w:r>
        <w:rPr>
          <w:rFonts w:hint="eastAsia" w:ascii="宋体" w:hAnsi="宋体" w:cs="楷体_GB2312"/>
          <w:kern w:val="0"/>
          <w:sz w:val="24"/>
          <w:szCs w:val="28"/>
        </w:rPr>
        <w:t>立即以面谈或电话方式向公司董事会秘书报告，并在两日内将与重大信息有关的书面文件直接递交或传真给公司董事会秘书，必要时应将原件送达。</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482" w:firstLineChars="200"/>
        <w:jc w:val="left"/>
        <w:textAlignment w:val="auto"/>
        <w:rPr>
          <w:rFonts w:hint="eastAsia" w:ascii="宋体" w:hAnsi="宋体" w:cs="楷体_GB2312"/>
          <w:kern w:val="0"/>
          <w:sz w:val="24"/>
          <w:szCs w:val="28"/>
        </w:rPr>
      </w:pPr>
      <w:r>
        <w:rPr>
          <w:rFonts w:hint="eastAsia"/>
          <w:b/>
          <w:bCs/>
          <w:sz w:val="24"/>
        </w:rPr>
        <w:t>第十三条</w:t>
      </w:r>
      <w:r>
        <w:rPr>
          <w:rFonts w:hint="eastAsia"/>
          <w:b/>
          <w:bCs/>
          <w:sz w:val="24"/>
          <w:lang w:val="en-US" w:eastAsia="zh-CN"/>
        </w:rPr>
        <w:t xml:space="preserve">  </w:t>
      </w:r>
      <w:r>
        <w:rPr>
          <w:rFonts w:hint="eastAsia" w:ascii="宋体" w:hAnsi="宋体" w:cs="楷体_GB2312"/>
          <w:kern w:val="0"/>
          <w:sz w:val="24"/>
          <w:szCs w:val="28"/>
        </w:rPr>
        <w:t>按照本制度规定，以书面形式报送重大信息的相关材料，包括但不限于：</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lang w:eastAsia="zh-CN"/>
        </w:rPr>
        <w:t>（</w:t>
      </w:r>
      <w:r>
        <w:rPr>
          <w:rFonts w:hint="eastAsia" w:ascii="宋体" w:hAnsi="宋体" w:cs="楷体_GB2312"/>
          <w:kern w:val="0"/>
          <w:sz w:val="24"/>
          <w:szCs w:val="28"/>
          <w:lang w:val="en-US" w:eastAsia="zh-CN"/>
        </w:rPr>
        <w:t>一</w:t>
      </w:r>
      <w:r>
        <w:rPr>
          <w:rFonts w:hint="eastAsia" w:ascii="宋体" w:hAnsi="宋体" w:cs="楷体_GB2312"/>
          <w:kern w:val="0"/>
          <w:sz w:val="24"/>
          <w:szCs w:val="28"/>
          <w:lang w:eastAsia="zh-CN"/>
        </w:rPr>
        <w:t>）</w:t>
      </w:r>
      <w:r>
        <w:rPr>
          <w:rFonts w:hint="eastAsia" w:ascii="宋体" w:hAnsi="宋体" w:cs="楷体_GB2312"/>
          <w:kern w:val="0"/>
          <w:sz w:val="24"/>
          <w:szCs w:val="28"/>
        </w:rPr>
        <w:t>发生重要事项的原因、各方基本情况、重要事项内容、对公司经营的影响等；</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lang w:eastAsia="zh-CN"/>
        </w:rPr>
        <w:t>（</w:t>
      </w:r>
      <w:r>
        <w:rPr>
          <w:rFonts w:hint="eastAsia" w:ascii="宋体" w:hAnsi="宋体" w:cs="楷体_GB2312"/>
          <w:kern w:val="0"/>
          <w:sz w:val="24"/>
          <w:szCs w:val="28"/>
          <w:lang w:val="en-US" w:eastAsia="zh-CN"/>
        </w:rPr>
        <w:t>二</w:t>
      </w:r>
      <w:r>
        <w:rPr>
          <w:rFonts w:hint="eastAsia" w:ascii="宋体" w:hAnsi="宋体" w:cs="楷体_GB2312"/>
          <w:kern w:val="0"/>
          <w:sz w:val="24"/>
          <w:szCs w:val="28"/>
          <w:lang w:eastAsia="zh-CN"/>
        </w:rPr>
        <w:t>）</w:t>
      </w:r>
      <w:r>
        <w:rPr>
          <w:rFonts w:hint="eastAsia" w:ascii="宋体" w:hAnsi="宋体" w:cs="楷体_GB2312"/>
          <w:kern w:val="0"/>
          <w:sz w:val="24"/>
          <w:szCs w:val="28"/>
        </w:rPr>
        <w:t>所涉及的协议书、意向书、协议、合同等；</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lang w:eastAsia="zh-CN"/>
        </w:rPr>
        <w:t>（三）</w:t>
      </w:r>
      <w:r>
        <w:rPr>
          <w:rFonts w:hint="eastAsia" w:ascii="宋体" w:hAnsi="宋体" w:cs="楷体_GB2312"/>
          <w:kern w:val="0"/>
          <w:sz w:val="24"/>
          <w:szCs w:val="28"/>
        </w:rPr>
        <w:t>所涉及的政府批文、法律、法规、法院判决及情况介绍等；</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lang w:eastAsia="zh-CN"/>
        </w:rPr>
        <w:t>（四）</w:t>
      </w:r>
      <w:r>
        <w:rPr>
          <w:rFonts w:hint="eastAsia" w:ascii="宋体" w:hAnsi="宋体" w:cs="楷体_GB2312"/>
          <w:kern w:val="0"/>
          <w:sz w:val="24"/>
          <w:szCs w:val="28"/>
        </w:rPr>
        <w:t>中介机构关于重要事项所出具的意见书；</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0" w:firstLineChars="225"/>
        <w:jc w:val="left"/>
        <w:textAlignment w:val="auto"/>
        <w:rPr>
          <w:rFonts w:hint="eastAsia" w:ascii="宋体" w:hAnsi="宋体" w:cs="楷体_GB2312"/>
          <w:kern w:val="0"/>
          <w:sz w:val="24"/>
          <w:szCs w:val="28"/>
        </w:rPr>
      </w:pPr>
      <w:r>
        <w:rPr>
          <w:rFonts w:hint="eastAsia" w:ascii="宋体" w:hAnsi="宋体" w:cs="楷体_GB2312"/>
          <w:kern w:val="0"/>
          <w:sz w:val="24"/>
          <w:szCs w:val="28"/>
          <w:lang w:eastAsia="zh-CN"/>
        </w:rPr>
        <w:t>（五）</w:t>
      </w:r>
      <w:r>
        <w:rPr>
          <w:rFonts w:hint="eastAsia" w:ascii="宋体" w:hAnsi="宋体" w:cs="楷体_GB2312"/>
          <w:kern w:val="0"/>
          <w:sz w:val="24"/>
          <w:szCs w:val="28"/>
        </w:rPr>
        <w:t>公司内部对重大事项审批的意见。</w:t>
      </w:r>
      <w:r>
        <w:rPr>
          <w:sz w:val="24"/>
        </w:rPr>
        <w:br w:type="textWrapping"/>
      </w:r>
      <w:r>
        <w:rPr>
          <w:rFonts w:hint="eastAsia"/>
          <w:sz w:val="24"/>
        </w:rPr>
        <w:t>　　</w:t>
      </w:r>
      <w:r>
        <w:rPr>
          <w:sz w:val="24"/>
        </w:rPr>
        <w:t xml:space="preserve"> </w:t>
      </w:r>
      <w:r>
        <w:rPr>
          <w:rFonts w:hint="eastAsia"/>
          <w:b/>
          <w:bCs/>
          <w:sz w:val="24"/>
        </w:rPr>
        <w:t>第十四条</w:t>
      </w:r>
      <w:r>
        <w:rPr>
          <w:sz w:val="24"/>
        </w:rPr>
        <w:t xml:space="preserve"> </w:t>
      </w:r>
      <w:r>
        <w:rPr>
          <w:rFonts w:hint="eastAsia"/>
          <w:sz w:val="24"/>
          <w:lang w:val="en-US" w:eastAsia="zh-CN"/>
        </w:rPr>
        <w:t xml:space="preserve"> </w:t>
      </w:r>
      <w:r>
        <w:rPr>
          <w:rFonts w:hint="eastAsia" w:ascii="宋体" w:hAnsi="宋体" w:cs="楷体_GB2312"/>
          <w:kern w:val="0"/>
          <w:sz w:val="24"/>
          <w:szCs w:val="28"/>
        </w:rPr>
        <w:t>董事会秘书应按照相关法律法规、《深圳证券交易所上市规则》等规范性文件及</w:t>
      </w:r>
      <w:r>
        <w:rPr>
          <w:rFonts w:hint="eastAsia" w:ascii="宋体" w:hAnsi="宋体" w:cs="楷体_GB2312"/>
          <w:kern w:val="0"/>
          <w:sz w:val="24"/>
          <w:szCs w:val="28"/>
          <w:lang w:eastAsia="zh-CN"/>
        </w:rPr>
        <w:t>《</w:t>
      </w:r>
      <w:r>
        <w:rPr>
          <w:rFonts w:hint="eastAsia" w:ascii="宋体" w:hAnsi="宋体" w:cs="楷体_GB2312"/>
          <w:kern w:val="0"/>
          <w:sz w:val="24"/>
          <w:szCs w:val="28"/>
        </w:rPr>
        <w:t>公司章程》的有关规定，对上报的重大信息进行分析判断，如需履行信息披露义务时，董事会秘书应立即向公司董事会进行汇报，提请公司董事会履行相应程序，并按照相关规定予以公开披露。</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2" w:firstLineChars="225"/>
        <w:jc w:val="left"/>
        <w:textAlignment w:val="auto"/>
        <w:rPr>
          <w:rFonts w:hint="eastAsia"/>
          <w:sz w:val="24"/>
        </w:rPr>
      </w:pPr>
      <w:r>
        <w:rPr>
          <w:rFonts w:hint="eastAsia"/>
          <w:b/>
          <w:bCs/>
          <w:sz w:val="24"/>
        </w:rPr>
        <w:t>第十五条</w:t>
      </w:r>
      <w:r>
        <w:rPr>
          <w:sz w:val="24"/>
        </w:rPr>
        <w:t xml:space="preserve"> </w:t>
      </w:r>
      <w:r>
        <w:rPr>
          <w:rFonts w:hint="eastAsia"/>
          <w:sz w:val="24"/>
          <w:lang w:val="en-US" w:eastAsia="zh-CN"/>
        </w:rPr>
        <w:t xml:space="preserve"> </w:t>
      </w:r>
      <w:r>
        <w:rPr>
          <w:rFonts w:hint="eastAsia"/>
          <w:sz w:val="24"/>
        </w:rPr>
        <w:t>对投资者关注且非强制性信息披露的事项，董事会秘书处根据实际情况，按照公司《投资者关系管理</w:t>
      </w:r>
      <w:r>
        <w:rPr>
          <w:rFonts w:hint="eastAsia"/>
          <w:sz w:val="24"/>
          <w:lang w:eastAsia="zh-CN"/>
        </w:rPr>
        <w:t>制度</w:t>
      </w:r>
      <w:r>
        <w:rPr>
          <w:rFonts w:hint="eastAsia"/>
          <w:sz w:val="24"/>
        </w:rPr>
        <w:t>》的程序及时向投资者披露有关信息，或组织公司有关方面及时与投资者沟通、交流。</w:t>
      </w:r>
      <w:r>
        <w:rPr>
          <w:sz w:val="24"/>
        </w:rPr>
        <w:t xml:space="preserve"> </w:t>
      </w:r>
    </w:p>
    <w:p>
      <w:pPr>
        <w:keepNext w:val="0"/>
        <w:keepLines w:val="0"/>
        <w:pageBreakBefore w:val="0"/>
        <w:widowControl w:val="0"/>
        <w:kinsoku/>
        <w:wordWrap/>
        <w:overflowPunct/>
        <w:topLinePunct w:val="0"/>
        <w:autoSpaceDE w:val="0"/>
        <w:autoSpaceDN w:val="0"/>
        <w:bidi w:val="0"/>
        <w:adjustRightInd w:val="0"/>
        <w:snapToGrid w:val="0"/>
        <w:spacing w:before="157" w:beforeLines="50" w:after="157" w:afterLines="50" w:line="460" w:lineRule="exact"/>
        <w:ind w:firstLine="542" w:firstLineChars="225"/>
        <w:jc w:val="center"/>
        <w:textAlignment w:val="auto"/>
        <w:rPr>
          <w:rFonts w:hint="eastAsia" w:ascii="宋体" w:hAnsi="宋体" w:cs="楷体_GB2312,Bold"/>
          <w:b/>
          <w:bCs/>
          <w:kern w:val="0"/>
          <w:sz w:val="24"/>
          <w:szCs w:val="30"/>
        </w:rPr>
      </w:pPr>
      <w:r>
        <w:rPr>
          <w:rFonts w:hint="eastAsia" w:ascii="宋体" w:hAnsi="宋体" w:cs="楷体_GB2312,Bold"/>
          <w:b/>
          <w:bCs/>
          <w:kern w:val="0"/>
          <w:sz w:val="24"/>
          <w:szCs w:val="30"/>
        </w:rPr>
        <w:t>第五章 重大信息内部报告的管理和责任</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2" w:firstLineChars="225"/>
        <w:jc w:val="left"/>
        <w:textAlignment w:val="auto"/>
        <w:rPr>
          <w:rFonts w:hint="eastAsia" w:ascii="宋体" w:hAnsi="宋体" w:cs="楷体_GB2312"/>
          <w:kern w:val="0"/>
          <w:sz w:val="24"/>
          <w:szCs w:val="28"/>
        </w:rPr>
      </w:pPr>
      <w:r>
        <w:rPr>
          <w:rFonts w:hint="eastAsia" w:ascii="宋体" w:hAnsi="宋体" w:cs="楷体_GB2312"/>
          <w:b/>
          <w:bCs/>
          <w:kern w:val="0"/>
          <w:sz w:val="24"/>
          <w:szCs w:val="28"/>
        </w:rPr>
        <w:t>第十六条</w:t>
      </w:r>
      <w:r>
        <w:rPr>
          <w:rFonts w:hint="eastAsia" w:ascii="宋体" w:hAnsi="宋体" w:cs="楷体_GB2312"/>
          <w:kern w:val="0"/>
          <w:sz w:val="24"/>
          <w:szCs w:val="28"/>
        </w:rPr>
        <w:t xml:space="preserve">  公司内部信息报告义务人应确保信息及时、真实、准确、完整、没有虚假、严重误导性陈述或重大遗漏。</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2" w:firstLineChars="225"/>
        <w:jc w:val="left"/>
        <w:textAlignment w:val="auto"/>
        <w:rPr>
          <w:rFonts w:hint="eastAsia" w:ascii="宋体" w:hAnsi="宋体" w:cs="楷体_GB2312"/>
          <w:kern w:val="0"/>
          <w:sz w:val="24"/>
          <w:szCs w:val="28"/>
        </w:rPr>
      </w:pPr>
      <w:r>
        <w:rPr>
          <w:rFonts w:hint="eastAsia" w:ascii="宋体" w:hAnsi="宋体" w:cs="楷体_GB2312"/>
          <w:b/>
          <w:bCs/>
          <w:kern w:val="0"/>
          <w:sz w:val="24"/>
          <w:szCs w:val="28"/>
        </w:rPr>
        <w:t>第十七条</w:t>
      </w:r>
      <w:r>
        <w:rPr>
          <w:rFonts w:hint="eastAsia" w:ascii="宋体" w:hAnsi="宋体" w:cs="楷体_GB2312"/>
          <w:kern w:val="0"/>
          <w:sz w:val="24"/>
          <w:szCs w:val="28"/>
        </w:rPr>
        <w:t xml:space="preserve">  </w:t>
      </w:r>
      <w:r>
        <w:rPr>
          <w:rFonts w:hint="eastAsia" w:ascii="宋体" w:hAnsi="宋体"/>
          <w:spacing w:val="-6"/>
          <w:sz w:val="24"/>
        </w:rPr>
        <w:t>公司各部门、分支机构、全资子公司、控股子公司及参股公司应</w:t>
      </w:r>
      <w:r>
        <w:rPr>
          <w:rFonts w:hint="eastAsia" w:ascii="宋体" w:hAnsi="宋体" w:cs="楷体_GB2312"/>
          <w:kern w:val="0"/>
          <w:sz w:val="24"/>
          <w:szCs w:val="28"/>
        </w:rPr>
        <w:t>根据实际情况，制定相应的内部信息报告制度，并可以指定熟悉相关业务和法规的人员为信息报告联络人，负责本部门或本公司重大信息的收集、整理及与公司董事会秘书或证券事务代表的联络工作。</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2" w:firstLineChars="225"/>
        <w:jc w:val="left"/>
        <w:textAlignment w:val="auto"/>
        <w:rPr>
          <w:rFonts w:hint="eastAsia" w:ascii="宋体" w:hAnsi="宋体" w:cs="楷体_GB2312"/>
          <w:kern w:val="0"/>
          <w:sz w:val="24"/>
          <w:szCs w:val="28"/>
        </w:rPr>
      </w:pPr>
      <w:r>
        <w:rPr>
          <w:rFonts w:hint="eastAsia" w:ascii="宋体" w:hAnsi="宋体" w:cs="楷体_GB2312"/>
          <w:b/>
          <w:bCs/>
          <w:kern w:val="0"/>
          <w:sz w:val="24"/>
          <w:szCs w:val="28"/>
        </w:rPr>
        <w:t>第十八条</w:t>
      </w:r>
      <w:r>
        <w:rPr>
          <w:rFonts w:hint="eastAsia" w:ascii="宋体" w:hAnsi="宋体" w:cs="楷体_GB2312"/>
          <w:kern w:val="0"/>
          <w:sz w:val="24"/>
          <w:szCs w:val="28"/>
        </w:rPr>
        <w:t xml:space="preserve">  重大信息报送资料需由义务人签字后方可报送董事会秘书或证券事务代表。</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2" w:firstLineChars="225"/>
        <w:jc w:val="left"/>
        <w:textAlignment w:val="auto"/>
        <w:rPr>
          <w:rFonts w:hint="eastAsia" w:ascii="宋体" w:hAnsi="宋体" w:cs="楷体_GB2312"/>
          <w:kern w:val="0"/>
          <w:sz w:val="24"/>
          <w:szCs w:val="28"/>
        </w:rPr>
      </w:pPr>
      <w:r>
        <w:rPr>
          <w:rFonts w:hint="eastAsia" w:ascii="宋体" w:hAnsi="宋体" w:cs="楷体_GB2312"/>
          <w:b/>
          <w:bCs/>
          <w:kern w:val="0"/>
          <w:sz w:val="24"/>
          <w:szCs w:val="28"/>
        </w:rPr>
        <w:t>第十九条</w:t>
      </w:r>
      <w:r>
        <w:rPr>
          <w:rFonts w:hint="eastAsia" w:ascii="宋体" w:hAnsi="宋体" w:cs="楷体_GB2312"/>
          <w:kern w:val="0"/>
          <w:sz w:val="24"/>
          <w:szCs w:val="28"/>
        </w:rPr>
        <w:t xml:space="preserve">  </w:t>
      </w:r>
      <w:r>
        <w:rPr>
          <w:rFonts w:hint="eastAsia" w:ascii="宋体" w:hAnsi="宋体" w:cs="楷体_GB2312,Bold"/>
          <w:bCs/>
          <w:kern w:val="0"/>
          <w:sz w:val="24"/>
          <w:szCs w:val="30"/>
        </w:rPr>
        <w:t>重大信息报告的义务人</w:t>
      </w:r>
      <w:r>
        <w:rPr>
          <w:rFonts w:hint="eastAsia" w:ascii="宋体" w:hAnsi="宋体" w:cs="楷体_GB2312"/>
          <w:kern w:val="0"/>
          <w:sz w:val="24"/>
          <w:szCs w:val="28"/>
        </w:rPr>
        <w:t>负有诚信责任，应时常敦促公司各部门、各下属分支机构、公司控、参股公司对重大信息的收集、整理、上报工作。</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2" w:firstLineChars="225"/>
        <w:jc w:val="left"/>
        <w:textAlignment w:val="auto"/>
        <w:rPr>
          <w:rFonts w:hint="eastAsia"/>
          <w:sz w:val="24"/>
        </w:rPr>
      </w:pPr>
      <w:r>
        <w:rPr>
          <w:rFonts w:hint="eastAsia"/>
          <w:b/>
          <w:bCs/>
          <w:sz w:val="24"/>
        </w:rPr>
        <w:t>第二十条</w:t>
      </w:r>
      <w:r>
        <w:rPr>
          <w:rFonts w:hint="eastAsia"/>
          <w:b/>
          <w:bCs/>
          <w:sz w:val="24"/>
          <w:lang w:val="en-US" w:eastAsia="zh-CN"/>
        </w:rPr>
        <w:t xml:space="preserve"> </w:t>
      </w:r>
      <w:r>
        <w:rPr>
          <w:sz w:val="24"/>
        </w:rPr>
        <w:t xml:space="preserve"> </w:t>
      </w:r>
      <w:r>
        <w:rPr>
          <w:rFonts w:hint="eastAsia"/>
          <w:sz w:val="24"/>
        </w:rPr>
        <w:t>董事会秘书处建立重大信息内部报告档案，对上报的信息予以整理及妥善保管，并对重大信息内部报告义务人进行考核，考核意见作为年度考核的评价指标之一。</w:t>
      </w:r>
      <w:r>
        <w:rPr>
          <w:sz w:val="24"/>
        </w:rPr>
        <w:t xml:space="preserve"> </w:t>
      </w:r>
      <w:r>
        <w:rPr>
          <w:sz w:val="24"/>
        </w:rPr>
        <w:br w:type="textWrapping"/>
      </w:r>
      <w:r>
        <w:rPr>
          <w:rFonts w:hint="eastAsia"/>
          <w:sz w:val="24"/>
        </w:rPr>
        <w:t>　　</w:t>
      </w:r>
      <w:r>
        <w:rPr>
          <w:sz w:val="24"/>
        </w:rPr>
        <w:t xml:space="preserve"> </w:t>
      </w:r>
      <w:r>
        <w:rPr>
          <w:rFonts w:hint="eastAsia"/>
          <w:b/>
          <w:bCs/>
          <w:sz w:val="24"/>
        </w:rPr>
        <w:t>第二十一条</w:t>
      </w:r>
      <w:r>
        <w:rPr>
          <w:sz w:val="24"/>
        </w:rPr>
        <w:t xml:space="preserve"> </w:t>
      </w:r>
      <w:r>
        <w:rPr>
          <w:rFonts w:hint="eastAsia"/>
          <w:sz w:val="24"/>
          <w:lang w:val="en-US" w:eastAsia="zh-CN"/>
        </w:rPr>
        <w:t xml:space="preserve"> </w:t>
      </w:r>
      <w:r>
        <w:rPr>
          <w:rFonts w:hint="eastAsia"/>
          <w:sz w:val="24"/>
        </w:rPr>
        <w:t>报告义务人未按照本制度的规定履行报告义务导致公司信息披露违规，给公司造成不利影响或损失时，公司将追究报告义务人及相关人员的责任。</w:t>
      </w:r>
      <w:r>
        <w:rPr>
          <w:rFonts w:hint="eastAsia" w:ascii="宋体" w:hAnsi="宋体" w:cs="楷体_GB2312"/>
          <w:kern w:val="0"/>
          <w:sz w:val="24"/>
          <w:szCs w:val="28"/>
        </w:rPr>
        <w:t>如因此导致信息披露违规，由负有报告义务的有关人员承担责任；给公司造成严重影响或损失，致使公司信息披露工作出现失误和信息泄漏，受到监管部门和交易所的处罚的，应追究当事人的责任，给予相应处罚，直至按照《公司法》</w:t>
      </w:r>
      <w:bookmarkStart w:id="0" w:name="_GoBack"/>
      <w:bookmarkEnd w:id="0"/>
      <w:r>
        <w:rPr>
          <w:rFonts w:hint="eastAsia" w:ascii="宋体" w:hAnsi="宋体" w:cs="楷体_GB2312"/>
          <w:kern w:val="0"/>
          <w:sz w:val="24"/>
          <w:szCs w:val="28"/>
        </w:rPr>
        <w:t>《证券法》的规定，追究其法律责任。</w:t>
      </w:r>
      <w:r>
        <w:rPr>
          <w:sz w:val="24"/>
        </w:rPr>
        <w:br w:type="textWrapping"/>
      </w:r>
      <w:r>
        <w:rPr>
          <w:rFonts w:hint="eastAsia"/>
          <w:sz w:val="24"/>
        </w:rPr>
        <w:t>　　</w:t>
      </w:r>
      <w:r>
        <w:rPr>
          <w:sz w:val="24"/>
        </w:rPr>
        <w:t xml:space="preserve"> </w:t>
      </w:r>
      <w:r>
        <w:rPr>
          <w:rFonts w:hint="eastAsia"/>
          <w:sz w:val="24"/>
        </w:rPr>
        <w:t>前款规定的不适当履行报告义务包括以下情形：</w:t>
      </w:r>
      <w:r>
        <w:rPr>
          <w:sz w:val="24"/>
        </w:rPr>
        <w:t xml:space="preserve"> </w:t>
      </w:r>
      <w:r>
        <w:rPr>
          <w:sz w:val="24"/>
        </w:rPr>
        <w:br w:type="textWrapping"/>
      </w:r>
      <w:r>
        <w:rPr>
          <w:rFonts w:hint="eastAsia"/>
          <w:sz w:val="24"/>
        </w:rPr>
        <w:t>　　</w:t>
      </w:r>
      <w:r>
        <w:rPr>
          <w:sz w:val="24"/>
        </w:rPr>
        <w:t xml:space="preserve"> </w:t>
      </w:r>
      <w:r>
        <w:rPr>
          <w:rFonts w:hint="eastAsia"/>
          <w:sz w:val="24"/>
        </w:rPr>
        <w:t>（一）未报告重大信息或提供相关资料；</w:t>
      </w:r>
      <w:r>
        <w:rPr>
          <w:sz w:val="24"/>
        </w:rPr>
        <w:t xml:space="preserve"> </w:t>
      </w:r>
      <w:r>
        <w:rPr>
          <w:sz w:val="24"/>
        </w:rPr>
        <w:br w:type="textWrapping"/>
      </w:r>
      <w:r>
        <w:rPr>
          <w:rFonts w:hint="eastAsia"/>
          <w:sz w:val="24"/>
        </w:rPr>
        <w:t>　　</w:t>
      </w:r>
      <w:r>
        <w:rPr>
          <w:sz w:val="24"/>
        </w:rPr>
        <w:t xml:space="preserve"> </w:t>
      </w:r>
      <w:r>
        <w:rPr>
          <w:rFonts w:hint="eastAsia"/>
          <w:sz w:val="24"/>
        </w:rPr>
        <w:t>（二）未及时报告重大信息或提供相关资料；</w:t>
      </w:r>
      <w:r>
        <w:rPr>
          <w:sz w:val="24"/>
        </w:rPr>
        <w:t xml:space="preserve"> </w:t>
      </w:r>
      <w:r>
        <w:rPr>
          <w:sz w:val="24"/>
        </w:rPr>
        <w:br w:type="textWrapping"/>
      </w:r>
      <w:r>
        <w:rPr>
          <w:rFonts w:hint="eastAsia"/>
          <w:sz w:val="24"/>
        </w:rPr>
        <w:t>　　</w:t>
      </w:r>
      <w:r>
        <w:rPr>
          <w:sz w:val="24"/>
        </w:rPr>
        <w:t xml:space="preserve"> </w:t>
      </w:r>
      <w:r>
        <w:rPr>
          <w:rFonts w:hint="eastAsia"/>
          <w:sz w:val="24"/>
        </w:rPr>
        <w:t>（三）因故意或重大过失导致报告的信息或提供的资料存在重大漏报、虚假陈述或重大误解之处；</w:t>
      </w:r>
      <w:r>
        <w:rPr>
          <w:sz w:val="24"/>
        </w:rPr>
        <w:t xml:space="preserve"> </w:t>
      </w:r>
      <w:r>
        <w:rPr>
          <w:sz w:val="24"/>
        </w:rPr>
        <w:br w:type="textWrapping"/>
      </w:r>
      <w:r>
        <w:rPr>
          <w:rFonts w:hint="eastAsia"/>
          <w:sz w:val="24"/>
        </w:rPr>
        <w:t>　　</w:t>
      </w:r>
      <w:r>
        <w:rPr>
          <w:sz w:val="24"/>
        </w:rPr>
        <w:t xml:space="preserve"> </w:t>
      </w:r>
      <w:r>
        <w:rPr>
          <w:rFonts w:hint="eastAsia"/>
          <w:sz w:val="24"/>
        </w:rPr>
        <w:t>（四）其他不适当履行报告义务的情形。</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2" w:firstLineChars="225"/>
        <w:jc w:val="left"/>
        <w:textAlignment w:val="auto"/>
        <w:rPr>
          <w:rFonts w:hint="eastAsia" w:ascii="宋体" w:hAnsi="宋体" w:cs="楷体_GB2312"/>
          <w:kern w:val="0"/>
          <w:sz w:val="24"/>
          <w:szCs w:val="28"/>
        </w:rPr>
      </w:pPr>
      <w:r>
        <w:rPr>
          <w:rFonts w:hint="eastAsia" w:ascii="宋体" w:hAnsi="宋体" w:cs="楷体_GB2312"/>
          <w:b/>
          <w:bCs/>
          <w:kern w:val="0"/>
          <w:sz w:val="24"/>
          <w:szCs w:val="28"/>
        </w:rPr>
        <w:t>第二十二条</w:t>
      </w:r>
      <w:r>
        <w:rPr>
          <w:rFonts w:hint="eastAsia" w:ascii="宋体" w:hAnsi="宋体" w:cs="楷体_GB2312"/>
          <w:kern w:val="0"/>
          <w:sz w:val="24"/>
          <w:szCs w:val="28"/>
        </w:rPr>
        <w:t xml:space="preserve">  一旦内幕消息泄露，由董事会秘书负责及时采取补救措施进行公告，并加以解释和澄清，同时报告深圳证券交易所和湖南证监局。</w:t>
      </w:r>
    </w:p>
    <w:p>
      <w:pPr>
        <w:keepNext w:val="0"/>
        <w:keepLines w:val="0"/>
        <w:pageBreakBefore w:val="0"/>
        <w:widowControl w:val="0"/>
        <w:kinsoku/>
        <w:wordWrap/>
        <w:overflowPunct/>
        <w:topLinePunct w:val="0"/>
        <w:autoSpaceDE w:val="0"/>
        <w:autoSpaceDN w:val="0"/>
        <w:bidi w:val="0"/>
        <w:adjustRightInd w:val="0"/>
        <w:snapToGrid w:val="0"/>
        <w:spacing w:before="157" w:beforeLines="50" w:after="157" w:afterLines="50" w:line="460" w:lineRule="exact"/>
        <w:jc w:val="center"/>
        <w:textAlignment w:val="auto"/>
        <w:rPr>
          <w:rFonts w:hint="default" w:ascii="宋体" w:hAnsi="宋体" w:eastAsia="宋体" w:cs="楷体_GB2312"/>
          <w:b/>
          <w:bCs/>
          <w:kern w:val="0"/>
          <w:sz w:val="24"/>
          <w:szCs w:val="28"/>
          <w:lang w:val="en-US" w:eastAsia="zh-CN"/>
        </w:rPr>
      </w:pPr>
      <w:r>
        <w:rPr>
          <w:rFonts w:hint="eastAsia" w:ascii="宋体" w:hAnsi="宋体" w:cs="楷体_GB2312"/>
          <w:b/>
          <w:bCs/>
          <w:kern w:val="0"/>
          <w:sz w:val="24"/>
          <w:szCs w:val="28"/>
          <w:lang w:eastAsia="zh-CN"/>
        </w:rPr>
        <w:t>第六章</w:t>
      </w:r>
      <w:r>
        <w:rPr>
          <w:rFonts w:hint="eastAsia" w:ascii="宋体" w:hAnsi="宋体" w:cs="楷体_GB2312"/>
          <w:b/>
          <w:bCs/>
          <w:kern w:val="0"/>
          <w:sz w:val="24"/>
          <w:szCs w:val="28"/>
          <w:lang w:val="en-US" w:eastAsia="zh-CN"/>
        </w:rPr>
        <w:t xml:space="preserve">  附则</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542" w:firstLineChars="225"/>
        <w:jc w:val="left"/>
        <w:textAlignment w:val="auto"/>
        <w:rPr>
          <w:sz w:val="24"/>
        </w:rPr>
      </w:pPr>
      <w:r>
        <w:rPr>
          <w:rFonts w:hint="eastAsia"/>
          <w:b/>
          <w:bCs/>
          <w:sz w:val="24"/>
        </w:rPr>
        <w:t>第二十三条</w:t>
      </w:r>
      <w:r>
        <w:rPr>
          <w:sz w:val="24"/>
        </w:rPr>
        <w:t xml:space="preserve"> </w:t>
      </w:r>
      <w:r>
        <w:rPr>
          <w:rFonts w:hint="eastAsia"/>
          <w:sz w:val="24"/>
          <w:lang w:val="en-US" w:eastAsia="zh-CN"/>
        </w:rPr>
        <w:t xml:space="preserve"> </w:t>
      </w:r>
      <w:r>
        <w:rPr>
          <w:rFonts w:hint="eastAsia"/>
          <w:sz w:val="24"/>
        </w:rPr>
        <w:t>本制度未规定的有关事宜，按照适用的有关法律法规及其他规范性文件执行，与后者有冲突的，按照后者的规定执行。</w:t>
      </w:r>
      <w:r>
        <w:rPr>
          <w:sz w:val="24"/>
        </w:rPr>
        <w:t xml:space="preserve"> </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482" w:firstLineChars="200"/>
        <w:jc w:val="left"/>
        <w:textAlignment w:val="auto"/>
        <w:rPr>
          <w:sz w:val="24"/>
        </w:rPr>
      </w:pPr>
      <w:r>
        <w:rPr>
          <w:rFonts w:hint="eastAsia"/>
          <w:b/>
          <w:bCs/>
          <w:sz w:val="24"/>
        </w:rPr>
        <w:t>第二十四条</w:t>
      </w:r>
      <w:r>
        <w:rPr>
          <w:sz w:val="24"/>
        </w:rPr>
        <w:t xml:space="preserve"> </w:t>
      </w:r>
      <w:r>
        <w:rPr>
          <w:rFonts w:hint="eastAsia"/>
          <w:sz w:val="24"/>
          <w:lang w:val="en-US" w:eastAsia="zh-CN"/>
        </w:rPr>
        <w:t xml:space="preserve"> </w:t>
      </w:r>
      <w:r>
        <w:rPr>
          <w:rFonts w:hint="eastAsia"/>
          <w:sz w:val="24"/>
        </w:rPr>
        <w:t>本制度解释权属于公司董事会。</w:t>
      </w:r>
      <w:r>
        <w:rPr>
          <w:sz w:val="24"/>
        </w:rPr>
        <w:t xml:space="preserve"> </w:t>
      </w:r>
    </w:p>
    <w:p>
      <w:pPr>
        <w:spacing w:line="460" w:lineRule="exact"/>
        <w:ind w:firstLine="482" w:firstLineChars="200"/>
        <w:rPr>
          <w:rFonts w:hint="eastAsia" w:ascii="宋体" w:hAnsi="宋体"/>
          <w:sz w:val="24"/>
        </w:rPr>
      </w:pPr>
      <w:r>
        <w:rPr>
          <w:rFonts w:hint="eastAsia"/>
          <w:b/>
          <w:bCs/>
          <w:sz w:val="24"/>
        </w:rPr>
        <w:t>第二十五条</w:t>
      </w:r>
      <w:r>
        <w:rPr>
          <w:sz w:val="24"/>
        </w:rPr>
        <w:t xml:space="preserve"> </w:t>
      </w:r>
      <w:r>
        <w:rPr>
          <w:rFonts w:hint="eastAsia"/>
          <w:sz w:val="24"/>
          <w:lang w:val="en-US" w:eastAsia="zh-CN"/>
        </w:rPr>
        <w:t xml:space="preserve"> </w:t>
      </w:r>
      <w:r>
        <w:rPr>
          <w:rFonts w:hint="eastAsia"/>
          <w:sz w:val="24"/>
        </w:rPr>
        <w:t>本制度经董事会</w:t>
      </w:r>
      <w:r>
        <w:rPr>
          <w:rFonts w:hint="eastAsia" w:ascii="宋体" w:hAnsi="宋体"/>
          <w:sz w:val="24"/>
        </w:rPr>
        <w:t>审议通过之日起实施</w:t>
      </w:r>
      <w:r>
        <w:rPr>
          <w:rFonts w:hint="eastAsia"/>
          <w:sz w:val="24"/>
        </w:rPr>
        <w:t>。</w:t>
      </w:r>
      <w:r>
        <w:rPr>
          <w:rFonts w:hint="eastAsia"/>
          <w:color w:val="000000"/>
          <w:sz w:val="24"/>
        </w:rPr>
        <w:t>原《湖南博云新材料股份有限公司重大信息内部报告制度》同时失效。</w:t>
      </w:r>
    </w:p>
    <w:p>
      <w:pPr>
        <w:keepNext w:val="0"/>
        <w:keepLines w:val="0"/>
        <w:pageBreakBefore w:val="0"/>
        <w:widowControl w:val="0"/>
        <w:kinsoku/>
        <w:wordWrap/>
        <w:overflowPunct/>
        <w:topLinePunct w:val="0"/>
        <w:autoSpaceDE w:val="0"/>
        <w:autoSpaceDN w:val="0"/>
        <w:bidi w:val="0"/>
        <w:adjustRightInd w:val="0"/>
        <w:snapToGrid w:val="0"/>
        <w:spacing w:line="460" w:lineRule="exact"/>
        <w:ind w:firstLine="480" w:firstLineChars="200"/>
        <w:jc w:val="left"/>
        <w:textAlignment w:val="auto"/>
        <w:rPr>
          <w:rFonts w:ascii="宋体" w:hAnsi="宋体" w:cs="楷体_GB2312"/>
          <w:kern w:val="0"/>
          <w:sz w:val="24"/>
          <w:szCs w:val="28"/>
        </w:rPr>
      </w:pPr>
      <w:r>
        <w:rPr>
          <w:sz w:val="24"/>
        </w:rPr>
        <w:t xml:space="preserve"> </w:t>
      </w:r>
      <w:r>
        <w:rPr>
          <w:sz w:val="24"/>
        </w:rPr>
        <w:br w:type="textWrapping"/>
      </w:r>
      <w:r>
        <w:rPr>
          <w:rFonts w:hint="eastAsia"/>
          <w:sz w:val="24"/>
        </w:rPr>
        <w:t>　　　　　　　　　　　　</w:t>
      </w:r>
    </w:p>
    <w:p>
      <w:pPr>
        <w:keepNext w:val="0"/>
        <w:keepLines w:val="0"/>
        <w:pageBreakBefore w:val="0"/>
        <w:widowControl w:val="0"/>
        <w:kinsoku/>
        <w:wordWrap/>
        <w:overflowPunct/>
        <w:topLinePunct w:val="0"/>
        <w:bidi w:val="0"/>
        <w:spacing w:line="460" w:lineRule="exact"/>
        <w:textAlignment w:val="auto"/>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_GB2312,Bold">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hZDM3OWM2NmRhMzBiMDYxYjgzYzJiMWE5MTRlNzAifQ=="/>
    <w:docVar w:name="KSO_WPS_MARK_KEY" w:val="cd6ea6af-d0bf-4dc2-9f5b-d47353b0bee2"/>
  </w:docVars>
  <w:rsids>
    <w:rsidRoot w:val="000046D9"/>
    <w:rsid w:val="0000403A"/>
    <w:rsid w:val="000046D9"/>
    <w:rsid w:val="00012807"/>
    <w:rsid w:val="00082F57"/>
    <w:rsid w:val="000B6EBE"/>
    <w:rsid w:val="000D2AF5"/>
    <w:rsid w:val="000F2D42"/>
    <w:rsid w:val="0014103B"/>
    <w:rsid w:val="001A2FB3"/>
    <w:rsid w:val="001D1339"/>
    <w:rsid w:val="002543E5"/>
    <w:rsid w:val="002C5A46"/>
    <w:rsid w:val="003265DC"/>
    <w:rsid w:val="00372E89"/>
    <w:rsid w:val="003D2B3F"/>
    <w:rsid w:val="004061F8"/>
    <w:rsid w:val="00422E20"/>
    <w:rsid w:val="00423FD2"/>
    <w:rsid w:val="004812E8"/>
    <w:rsid w:val="004B5C70"/>
    <w:rsid w:val="004F2212"/>
    <w:rsid w:val="0054553D"/>
    <w:rsid w:val="00567F68"/>
    <w:rsid w:val="00572F3A"/>
    <w:rsid w:val="00631CE2"/>
    <w:rsid w:val="0064136F"/>
    <w:rsid w:val="00646107"/>
    <w:rsid w:val="0066400A"/>
    <w:rsid w:val="006938B8"/>
    <w:rsid w:val="006B7261"/>
    <w:rsid w:val="006C685C"/>
    <w:rsid w:val="006C7A44"/>
    <w:rsid w:val="006E3AA4"/>
    <w:rsid w:val="00783DDA"/>
    <w:rsid w:val="007978C0"/>
    <w:rsid w:val="007B4F47"/>
    <w:rsid w:val="007C2AAE"/>
    <w:rsid w:val="007E7148"/>
    <w:rsid w:val="008109F5"/>
    <w:rsid w:val="0082687B"/>
    <w:rsid w:val="009A71FB"/>
    <w:rsid w:val="009B1FDB"/>
    <w:rsid w:val="009D37B8"/>
    <w:rsid w:val="009E73D9"/>
    <w:rsid w:val="00AA14B4"/>
    <w:rsid w:val="00AB5365"/>
    <w:rsid w:val="00BE5C4E"/>
    <w:rsid w:val="00C567E7"/>
    <w:rsid w:val="00C746C8"/>
    <w:rsid w:val="00C7753C"/>
    <w:rsid w:val="00D31E89"/>
    <w:rsid w:val="00D41F10"/>
    <w:rsid w:val="00D60102"/>
    <w:rsid w:val="00D85B64"/>
    <w:rsid w:val="00D86A31"/>
    <w:rsid w:val="00DE1AC4"/>
    <w:rsid w:val="00E41E80"/>
    <w:rsid w:val="00E93D2F"/>
    <w:rsid w:val="00EB434B"/>
    <w:rsid w:val="00EF1985"/>
    <w:rsid w:val="00F52A8D"/>
    <w:rsid w:val="00F71E9E"/>
    <w:rsid w:val="00FB7B68"/>
    <w:rsid w:val="035166A0"/>
    <w:rsid w:val="039B791C"/>
    <w:rsid w:val="07F164E3"/>
    <w:rsid w:val="094D74E0"/>
    <w:rsid w:val="0CAA0ECC"/>
    <w:rsid w:val="13FA60C7"/>
    <w:rsid w:val="1A0B7100"/>
    <w:rsid w:val="1CC47F67"/>
    <w:rsid w:val="22D221CB"/>
    <w:rsid w:val="250A1114"/>
    <w:rsid w:val="27AC5CEC"/>
    <w:rsid w:val="29FB472C"/>
    <w:rsid w:val="2F462582"/>
    <w:rsid w:val="34825DD1"/>
    <w:rsid w:val="38A25423"/>
    <w:rsid w:val="505542FD"/>
    <w:rsid w:val="57AC4DC9"/>
    <w:rsid w:val="5D5201C0"/>
    <w:rsid w:val="61F47A8C"/>
    <w:rsid w:val="69124CA8"/>
    <w:rsid w:val="733408DB"/>
    <w:rsid w:val="764D731F"/>
    <w:rsid w:val="78047E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微软系统</Company>
  <Pages>7</Pages>
  <Words>4322</Words>
  <Characters>4429</Characters>
  <Lines>34</Lines>
  <Paragraphs>9</Paragraphs>
  <TotalTime>6</TotalTime>
  <ScaleCrop>false</ScaleCrop>
  <LinksUpToDate>false</LinksUpToDate>
  <CharactersWithSpaces>4600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2011-09-28T01:27:00Z</dcterms:created>
  <dc:creator>微软用户</dc:creator>
  <cp:lastModifiedBy>张爱丽</cp:lastModifiedBy>
  <dcterms:modified xsi:type="dcterms:W3CDTF">2025-08-20T06:49:53Z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3246FFE34C024205A31F5F0F6DE685FC</vt:lpwstr>
  </property>
</Properties>
</file>